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036" w:rsidRPr="00EE3036" w:rsidRDefault="00EE3036" w:rsidP="00EE3036">
      <w:pPr>
        <w:spacing w:after="0" w:line="360" w:lineRule="auto"/>
        <w:jc w:val="center"/>
        <w:rPr>
          <w:rFonts w:ascii="Arial" w:hAnsi="Arial" w:cs="Arial"/>
          <w:b/>
          <w:sz w:val="24"/>
          <w:szCs w:val="32"/>
        </w:rPr>
      </w:pPr>
      <w:r w:rsidRPr="00EE3036">
        <w:rPr>
          <w:rFonts w:ascii="Arial" w:hAnsi="Arial" w:cs="Arial"/>
          <w:b/>
          <w:sz w:val="24"/>
          <w:szCs w:val="32"/>
        </w:rPr>
        <w:t xml:space="preserve">HACETTEPE ÜNİVERSİTESİ </w:t>
      </w:r>
    </w:p>
    <w:p w:rsidR="00EE3036" w:rsidRPr="00EE3036" w:rsidRDefault="00EE3036" w:rsidP="00EE3036">
      <w:pPr>
        <w:spacing w:after="0" w:line="360" w:lineRule="auto"/>
        <w:jc w:val="center"/>
        <w:rPr>
          <w:rFonts w:ascii="Arial" w:hAnsi="Arial" w:cs="Arial"/>
          <w:b/>
          <w:sz w:val="24"/>
          <w:szCs w:val="32"/>
        </w:rPr>
      </w:pPr>
      <w:r w:rsidRPr="00EE3036">
        <w:rPr>
          <w:rFonts w:ascii="Arial" w:hAnsi="Arial" w:cs="Arial"/>
          <w:b/>
          <w:sz w:val="24"/>
          <w:szCs w:val="32"/>
        </w:rPr>
        <w:t>TIP FAKÜLTESİ</w:t>
      </w:r>
    </w:p>
    <w:p w:rsidR="00EE3036" w:rsidRPr="00EE3036" w:rsidRDefault="00EE3036" w:rsidP="00EE3036">
      <w:pPr>
        <w:spacing w:after="0" w:line="360" w:lineRule="auto"/>
        <w:jc w:val="center"/>
        <w:rPr>
          <w:rFonts w:ascii="Arial" w:hAnsi="Arial" w:cs="Arial"/>
          <w:b/>
          <w:szCs w:val="28"/>
        </w:rPr>
      </w:pPr>
      <w:r w:rsidRPr="00EE3036">
        <w:rPr>
          <w:rFonts w:ascii="Arial" w:hAnsi="Arial" w:cs="Arial"/>
          <w:b/>
          <w:sz w:val="24"/>
          <w:szCs w:val="32"/>
        </w:rPr>
        <w:t>NÖROLOJİ ANABİLİM DALI</w:t>
      </w:r>
    </w:p>
    <w:p w:rsidR="00EE3036" w:rsidRP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8"/>
          <w:szCs w:val="32"/>
        </w:rPr>
      </w:pPr>
      <w:r w:rsidRPr="00EE3036">
        <w:rPr>
          <w:rFonts w:ascii="Arial" w:hAnsi="Arial" w:cs="Arial"/>
          <w:b/>
          <w:sz w:val="28"/>
          <w:szCs w:val="32"/>
        </w:rPr>
        <w:t>MİGREN, AURA, PATENT FORAMEN OVALE</w:t>
      </w:r>
    </w:p>
    <w:p w:rsidR="00EE3036" w:rsidRPr="00EE3036" w:rsidRDefault="00EE3036" w:rsidP="00EE3036">
      <w:pPr>
        <w:spacing w:after="0" w:line="360" w:lineRule="auto"/>
        <w:jc w:val="center"/>
        <w:rPr>
          <w:rFonts w:ascii="Arial" w:hAnsi="Arial" w:cs="Arial"/>
          <w:b/>
          <w:sz w:val="28"/>
          <w:szCs w:val="32"/>
        </w:rPr>
      </w:pPr>
      <w:r w:rsidRPr="00EE3036">
        <w:rPr>
          <w:rFonts w:ascii="Arial" w:hAnsi="Arial" w:cs="Arial"/>
          <w:b/>
          <w:sz w:val="28"/>
          <w:szCs w:val="32"/>
        </w:rPr>
        <w:t>VE VAZOMOTOR REAKTİVİTE</w:t>
      </w:r>
    </w:p>
    <w:p w:rsid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r w:rsidRPr="00EE3036">
        <w:rPr>
          <w:rFonts w:ascii="Arial" w:hAnsi="Arial" w:cs="Arial"/>
          <w:b/>
          <w:sz w:val="24"/>
          <w:szCs w:val="24"/>
        </w:rPr>
        <w:t>Dr. Ferid Hasiyev</w:t>
      </w:r>
    </w:p>
    <w:p w:rsid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r w:rsidRPr="00EE3036">
        <w:rPr>
          <w:rFonts w:ascii="Arial" w:hAnsi="Arial" w:cs="Arial"/>
          <w:b/>
          <w:sz w:val="24"/>
          <w:szCs w:val="24"/>
        </w:rPr>
        <w:t>UZMANLIK TEZİ</w:t>
      </w:r>
    </w:p>
    <w:p w:rsidR="00EE3036" w:rsidRPr="00EE3036" w:rsidRDefault="00EE3036" w:rsidP="00EE3036">
      <w:pPr>
        <w:spacing w:after="0" w:line="360" w:lineRule="auto"/>
        <w:jc w:val="center"/>
        <w:rPr>
          <w:rFonts w:ascii="Arial" w:hAnsi="Arial" w:cs="Arial"/>
          <w:b/>
          <w:sz w:val="24"/>
          <w:szCs w:val="24"/>
        </w:rPr>
      </w:pPr>
      <w:r>
        <w:rPr>
          <w:rFonts w:ascii="Arial" w:hAnsi="Arial" w:cs="Arial"/>
          <w:b/>
          <w:sz w:val="24"/>
          <w:szCs w:val="24"/>
        </w:rPr>
        <w:t>Olarak Hazırlanmıştır</w:t>
      </w:r>
    </w:p>
    <w:p w:rsid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r w:rsidRPr="00EE3036">
        <w:rPr>
          <w:rFonts w:ascii="Arial" w:hAnsi="Arial" w:cs="Arial"/>
          <w:b/>
          <w:sz w:val="24"/>
          <w:szCs w:val="24"/>
        </w:rPr>
        <w:t>ANKARA</w:t>
      </w:r>
    </w:p>
    <w:p w:rsidR="00EE3036" w:rsidRPr="00EE3036" w:rsidRDefault="00EE3036" w:rsidP="00EE3036">
      <w:pPr>
        <w:spacing w:after="0" w:line="360" w:lineRule="auto"/>
        <w:jc w:val="center"/>
        <w:rPr>
          <w:rFonts w:ascii="Arial" w:hAnsi="Arial" w:cs="Arial"/>
          <w:b/>
          <w:sz w:val="24"/>
          <w:szCs w:val="24"/>
        </w:rPr>
        <w:sectPr w:rsidR="00EE3036" w:rsidRPr="00EE3036" w:rsidSect="00EE3036">
          <w:headerReference w:type="default" r:id="rId8"/>
          <w:pgSz w:w="11906" w:h="16838" w:code="9"/>
          <w:pgMar w:top="1701" w:right="1418" w:bottom="1701" w:left="2268" w:header="709" w:footer="709" w:gutter="0"/>
          <w:cols w:space="708"/>
          <w:titlePg/>
          <w:docGrid w:linePitch="360"/>
        </w:sectPr>
      </w:pPr>
      <w:r w:rsidRPr="00EE3036">
        <w:rPr>
          <w:rFonts w:ascii="Arial" w:hAnsi="Arial" w:cs="Arial"/>
          <w:b/>
          <w:sz w:val="24"/>
          <w:szCs w:val="24"/>
        </w:rPr>
        <w:t>2017</w:t>
      </w:r>
    </w:p>
    <w:p w:rsidR="00EE3036" w:rsidRPr="00EE3036" w:rsidRDefault="00E659A9" w:rsidP="00EE3036">
      <w:pPr>
        <w:spacing w:after="0" w:line="360" w:lineRule="auto"/>
        <w:jc w:val="center"/>
        <w:rPr>
          <w:rFonts w:ascii="Arial" w:hAnsi="Arial" w:cs="Arial"/>
          <w:b/>
          <w:sz w:val="24"/>
          <w:szCs w:val="32"/>
        </w:rPr>
      </w:pPr>
      <w:r w:rsidRPr="00EE3036">
        <w:rPr>
          <w:rFonts w:ascii="Arial" w:hAnsi="Arial" w:cs="Arial"/>
          <w:b/>
          <w:sz w:val="24"/>
          <w:szCs w:val="32"/>
        </w:rPr>
        <w:lastRenderedPageBreak/>
        <w:t xml:space="preserve">HACETTEPE ÜNİVERSİTESİ </w:t>
      </w:r>
    </w:p>
    <w:p w:rsidR="00E659A9" w:rsidRPr="00EE3036" w:rsidRDefault="00E659A9" w:rsidP="00EE3036">
      <w:pPr>
        <w:spacing w:after="0" w:line="360" w:lineRule="auto"/>
        <w:jc w:val="center"/>
        <w:rPr>
          <w:rFonts w:ascii="Arial" w:hAnsi="Arial" w:cs="Arial"/>
          <w:b/>
          <w:sz w:val="24"/>
          <w:szCs w:val="32"/>
        </w:rPr>
      </w:pPr>
      <w:r w:rsidRPr="00EE3036">
        <w:rPr>
          <w:rFonts w:ascii="Arial" w:hAnsi="Arial" w:cs="Arial"/>
          <w:b/>
          <w:sz w:val="24"/>
          <w:szCs w:val="32"/>
        </w:rPr>
        <w:t>TIP FAKÜLTESİ</w:t>
      </w:r>
    </w:p>
    <w:p w:rsidR="00E659A9" w:rsidRPr="00EE3036" w:rsidRDefault="00E659A9" w:rsidP="00EE3036">
      <w:pPr>
        <w:spacing w:after="0" w:line="360" w:lineRule="auto"/>
        <w:jc w:val="center"/>
        <w:rPr>
          <w:rFonts w:ascii="Arial" w:hAnsi="Arial" w:cs="Arial"/>
          <w:b/>
          <w:szCs w:val="28"/>
        </w:rPr>
      </w:pPr>
      <w:r w:rsidRPr="00EE3036">
        <w:rPr>
          <w:rFonts w:ascii="Arial" w:hAnsi="Arial" w:cs="Arial"/>
          <w:b/>
          <w:sz w:val="24"/>
          <w:szCs w:val="32"/>
        </w:rPr>
        <w:t>NÖROLOJİ ANABİLİM DALI</w:t>
      </w:r>
    </w:p>
    <w:p w:rsidR="00EE3036" w:rsidRP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Default="00EE3036" w:rsidP="00EE3036">
      <w:pPr>
        <w:spacing w:after="0" w:line="360" w:lineRule="auto"/>
        <w:jc w:val="center"/>
        <w:rPr>
          <w:rFonts w:ascii="Arial" w:hAnsi="Arial" w:cs="Arial"/>
          <w:b/>
          <w:sz w:val="24"/>
          <w:szCs w:val="32"/>
        </w:rPr>
      </w:pPr>
    </w:p>
    <w:p w:rsidR="00EE3036" w:rsidRPr="00EE3036" w:rsidRDefault="00EE3036" w:rsidP="00EE3036">
      <w:pPr>
        <w:spacing w:after="0" w:line="360" w:lineRule="auto"/>
        <w:jc w:val="center"/>
        <w:rPr>
          <w:rFonts w:ascii="Arial" w:hAnsi="Arial" w:cs="Arial"/>
          <w:b/>
          <w:sz w:val="24"/>
          <w:szCs w:val="32"/>
        </w:rPr>
      </w:pPr>
    </w:p>
    <w:p w:rsidR="00E659A9" w:rsidRPr="00EE3036" w:rsidRDefault="00E659A9" w:rsidP="00EE3036">
      <w:pPr>
        <w:spacing w:after="0" w:line="360" w:lineRule="auto"/>
        <w:jc w:val="center"/>
        <w:rPr>
          <w:rFonts w:ascii="Arial" w:hAnsi="Arial" w:cs="Arial"/>
          <w:b/>
          <w:sz w:val="28"/>
          <w:szCs w:val="32"/>
        </w:rPr>
      </w:pPr>
      <w:r w:rsidRPr="00EE3036">
        <w:rPr>
          <w:rFonts w:ascii="Arial" w:hAnsi="Arial" w:cs="Arial"/>
          <w:b/>
          <w:sz w:val="28"/>
          <w:szCs w:val="32"/>
        </w:rPr>
        <w:t>MİGREN, AURA, PATENT FORAMEN OVALE</w:t>
      </w:r>
    </w:p>
    <w:p w:rsidR="00E659A9" w:rsidRPr="00EE3036" w:rsidRDefault="00E659A9" w:rsidP="00EE3036">
      <w:pPr>
        <w:spacing w:after="0" w:line="360" w:lineRule="auto"/>
        <w:jc w:val="center"/>
        <w:rPr>
          <w:rFonts w:ascii="Arial" w:hAnsi="Arial" w:cs="Arial"/>
          <w:b/>
          <w:sz w:val="28"/>
          <w:szCs w:val="32"/>
        </w:rPr>
      </w:pPr>
      <w:r w:rsidRPr="00EE3036">
        <w:rPr>
          <w:rFonts w:ascii="Arial" w:hAnsi="Arial" w:cs="Arial"/>
          <w:b/>
          <w:sz w:val="28"/>
          <w:szCs w:val="32"/>
        </w:rPr>
        <w:t>VE VAZOMOTOR REAKTİVİTE</w:t>
      </w:r>
    </w:p>
    <w:p w:rsidR="00E659A9" w:rsidRDefault="00E659A9"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659A9" w:rsidRDefault="00E659A9" w:rsidP="00EE3036">
      <w:pPr>
        <w:spacing w:after="0" w:line="360" w:lineRule="auto"/>
        <w:jc w:val="center"/>
        <w:rPr>
          <w:rFonts w:ascii="Arial" w:hAnsi="Arial" w:cs="Arial"/>
          <w:b/>
          <w:sz w:val="24"/>
          <w:szCs w:val="24"/>
        </w:rPr>
      </w:pPr>
    </w:p>
    <w:p w:rsidR="00EE3036" w:rsidRPr="00EE3036" w:rsidRDefault="00EE3036"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r w:rsidRPr="00EE3036">
        <w:rPr>
          <w:rFonts w:ascii="Arial" w:hAnsi="Arial" w:cs="Arial"/>
          <w:b/>
          <w:sz w:val="24"/>
          <w:szCs w:val="24"/>
        </w:rPr>
        <w:t>UZMANLIK TEZİ</w:t>
      </w:r>
    </w:p>
    <w:p w:rsidR="00EE3036" w:rsidRDefault="00EE3036"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r w:rsidRPr="00EE3036">
        <w:rPr>
          <w:rFonts w:ascii="Arial" w:hAnsi="Arial" w:cs="Arial"/>
          <w:b/>
          <w:sz w:val="24"/>
          <w:szCs w:val="24"/>
        </w:rPr>
        <w:t>Dr. Ferid Hasiyev</w:t>
      </w:r>
    </w:p>
    <w:p w:rsidR="00E659A9" w:rsidRPr="00EE3036" w:rsidRDefault="00E659A9" w:rsidP="00EE3036">
      <w:pPr>
        <w:spacing w:after="0" w:line="360" w:lineRule="auto"/>
        <w:jc w:val="center"/>
        <w:rPr>
          <w:rFonts w:ascii="Arial" w:hAnsi="Arial" w:cs="Arial"/>
          <w:b/>
          <w:sz w:val="24"/>
          <w:szCs w:val="24"/>
        </w:rPr>
      </w:pPr>
    </w:p>
    <w:p w:rsidR="00E659A9" w:rsidRDefault="00E659A9"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E3036" w:rsidRDefault="00EE3036"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r w:rsidRPr="00EE3036">
        <w:rPr>
          <w:rFonts w:ascii="Arial" w:hAnsi="Arial" w:cs="Arial"/>
          <w:b/>
          <w:sz w:val="24"/>
          <w:szCs w:val="24"/>
        </w:rPr>
        <w:t>TEZ DANIŞMANI</w:t>
      </w:r>
    </w:p>
    <w:p w:rsidR="00E659A9" w:rsidRPr="00EE3036" w:rsidRDefault="00E659A9" w:rsidP="00EE3036">
      <w:pPr>
        <w:spacing w:after="0" w:line="360" w:lineRule="auto"/>
        <w:jc w:val="center"/>
        <w:rPr>
          <w:rFonts w:ascii="Arial" w:hAnsi="Arial" w:cs="Arial"/>
          <w:b/>
          <w:sz w:val="24"/>
          <w:szCs w:val="24"/>
        </w:rPr>
      </w:pPr>
      <w:r w:rsidRPr="00EE3036">
        <w:rPr>
          <w:rFonts w:ascii="Arial" w:hAnsi="Arial" w:cs="Arial"/>
          <w:b/>
          <w:sz w:val="24"/>
          <w:szCs w:val="24"/>
        </w:rPr>
        <w:t>Prof. Dr. Mehmet Akif Topçuoğlu</w:t>
      </w:r>
    </w:p>
    <w:p w:rsidR="00E659A9" w:rsidRPr="00EE3036" w:rsidRDefault="00E659A9"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p>
    <w:p w:rsidR="00E659A9" w:rsidRPr="00EE3036" w:rsidRDefault="00E659A9" w:rsidP="00EE3036">
      <w:pPr>
        <w:spacing w:after="0" w:line="360" w:lineRule="auto"/>
        <w:jc w:val="center"/>
        <w:rPr>
          <w:rFonts w:ascii="Arial" w:hAnsi="Arial" w:cs="Arial"/>
          <w:b/>
          <w:sz w:val="24"/>
          <w:szCs w:val="24"/>
        </w:rPr>
      </w:pPr>
      <w:r w:rsidRPr="00EE3036">
        <w:rPr>
          <w:rFonts w:ascii="Arial" w:hAnsi="Arial" w:cs="Arial"/>
          <w:b/>
          <w:sz w:val="24"/>
          <w:szCs w:val="24"/>
        </w:rPr>
        <w:t>ANKARA</w:t>
      </w:r>
    </w:p>
    <w:p w:rsidR="00EE3036" w:rsidRPr="00EE3036" w:rsidRDefault="00E659A9" w:rsidP="00EE3036">
      <w:pPr>
        <w:spacing w:after="0" w:line="360" w:lineRule="auto"/>
        <w:jc w:val="center"/>
        <w:rPr>
          <w:rFonts w:ascii="Arial" w:hAnsi="Arial" w:cs="Arial"/>
          <w:b/>
          <w:sz w:val="24"/>
          <w:szCs w:val="24"/>
        </w:rPr>
        <w:sectPr w:rsidR="00EE3036" w:rsidRPr="00EE3036" w:rsidSect="00EE3036">
          <w:footerReference w:type="default" r:id="rId9"/>
          <w:pgSz w:w="11906" w:h="16838" w:code="9"/>
          <w:pgMar w:top="1701" w:right="1418" w:bottom="1701" w:left="2268" w:header="709" w:footer="709" w:gutter="0"/>
          <w:cols w:space="708"/>
          <w:titlePg/>
          <w:docGrid w:linePitch="360"/>
        </w:sectPr>
      </w:pPr>
      <w:r w:rsidRPr="00EE3036">
        <w:rPr>
          <w:rFonts w:ascii="Arial" w:hAnsi="Arial" w:cs="Arial"/>
          <w:b/>
          <w:sz w:val="24"/>
          <w:szCs w:val="24"/>
        </w:rPr>
        <w:t>2017</w:t>
      </w:r>
    </w:p>
    <w:p w:rsidR="00E659A9" w:rsidRPr="00EE3036" w:rsidRDefault="00E659A9" w:rsidP="00EE3036">
      <w:pPr>
        <w:pStyle w:val="Balk1"/>
      </w:pPr>
      <w:bookmarkStart w:id="0" w:name="_Toc492677319"/>
      <w:r w:rsidRPr="00EE3036">
        <w:lastRenderedPageBreak/>
        <w:t>TEŞEKKÜR</w:t>
      </w:r>
      <w:bookmarkEnd w:id="0"/>
    </w:p>
    <w:p w:rsidR="00E659A9" w:rsidRPr="00461F9A" w:rsidRDefault="00E659A9" w:rsidP="00EE3036">
      <w:pPr>
        <w:pStyle w:val="METN"/>
        <w:spacing w:line="276" w:lineRule="auto"/>
      </w:pPr>
      <w:r w:rsidRPr="00461F9A">
        <w:t xml:space="preserve">Tıp fakültesi yıllarım boyunca Türkiye’de uzmanlık eğitimi almak karşıma koyduğum en büyük hedefimdi. İlk teşekkür borcum olan kişiler, bu süre zarfında manevi ve maddi desteğini hiçbir zaman esirgememiş, onlardan uzakta kalmamı göze almış, bazen istemeden de olsa ihmal ettiğim değerli annem ve babamdır.  </w:t>
      </w:r>
    </w:p>
    <w:p w:rsidR="00E659A9" w:rsidRPr="00461F9A" w:rsidRDefault="00E659A9" w:rsidP="00EE3036">
      <w:pPr>
        <w:pStyle w:val="METN"/>
        <w:spacing w:line="276" w:lineRule="auto"/>
      </w:pPr>
      <w:proofErr w:type="gramStart"/>
      <w:r w:rsidRPr="00461F9A">
        <w:t>Asistanlık hayatıma başladığım ilk günden beri sadece bir nörolog değil, iyi hekim ve en az onun kadar önemli iyi insan olmam üçün çok büyük emeği olan, hep kendimi geliştirmek için düzgün şekilde motive eden ve kendisinden çok şeyler öğrenme şansı yakaladığım sevgili hocam, değerli abim Prof. Dr. Mehmet Akif Topçuoğlu’na,</w:t>
      </w:r>
      <w:proofErr w:type="gramEnd"/>
    </w:p>
    <w:p w:rsidR="00E659A9" w:rsidRPr="00461F9A" w:rsidRDefault="00E659A9" w:rsidP="00EE3036">
      <w:pPr>
        <w:pStyle w:val="METN"/>
        <w:spacing w:line="276" w:lineRule="auto"/>
      </w:pPr>
      <w:r w:rsidRPr="00461F9A">
        <w:t>Çömezlik dönemimden itibaren serebrovasküler hastalıklar ve beyin MR görüntülemesine olan ilgimin oluşmasına neden olmuş, günün hangi saati olur olsun kapısını ya da telefonunu çalarak, sorduğum sorulara her zaman sabır ve özenle yanıtlayan, bilgisi, soğukkanlılığı ile örnek aldığım bir insan, sevgili hocam, değerli abim Prof.Dr. Ethem Murat Arsava’ya,</w:t>
      </w:r>
    </w:p>
    <w:p w:rsidR="00E659A9" w:rsidRPr="00461F9A" w:rsidRDefault="00E659A9" w:rsidP="00EE3036">
      <w:pPr>
        <w:pStyle w:val="METN"/>
        <w:spacing w:line="276" w:lineRule="auto"/>
      </w:pPr>
      <w:r w:rsidRPr="00461F9A">
        <w:t xml:space="preserve">Nöroloji eğitimimdeki tüm katkılarından, öğretilerinden dolayı Nöroloji Anabilim Dalının değerli öğretim üyelerine, </w:t>
      </w:r>
    </w:p>
    <w:p w:rsidR="00E659A9" w:rsidRPr="00461F9A" w:rsidRDefault="00E659A9" w:rsidP="00EE3036">
      <w:pPr>
        <w:pStyle w:val="METN"/>
        <w:spacing w:line="276" w:lineRule="auto"/>
      </w:pPr>
      <w:r w:rsidRPr="00461F9A">
        <w:t>Tez çalışmam süresinde desteği, yardımı ve verdiği emek için değerli ablam Gülsen Çağlar’a ve tüm Nöroloji Yoğun Bakım hemşire ekibine,</w:t>
      </w:r>
    </w:p>
    <w:p w:rsidR="00E659A9" w:rsidRPr="00461F9A" w:rsidRDefault="00E659A9" w:rsidP="00EE3036">
      <w:pPr>
        <w:pStyle w:val="METN"/>
        <w:spacing w:line="276" w:lineRule="auto"/>
      </w:pPr>
      <w:r w:rsidRPr="00461F9A">
        <w:t>TUS’a girmeden 1 yıl önce tesadüfen tanıştığım ve sayesinde ilk tercih olarak Hacettepe Nöroloji yazmama neden olmuş, çömezlik dönemimden başlayarak bugüne kadar devam eden destek ve yardımı için değerli ablam Dr. Nergiz Ağayeva’ya,</w:t>
      </w:r>
    </w:p>
    <w:p w:rsidR="00E659A9" w:rsidRPr="00461F9A" w:rsidRDefault="00E659A9" w:rsidP="00EE3036">
      <w:pPr>
        <w:pStyle w:val="METN"/>
        <w:spacing w:line="276" w:lineRule="auto"/>
      </w:pPr>
      <w:r w:rsidRPr="00461F9A">
        <w:t xml:space="preserve">Hacettepe Nöroloji gibi yoğun asistanlık hayatımı güzel yapmış, eşsiz dostluğu, içtenliği, güzel ve zor anlarımı paylaşacak kadar çok sevdiğim, değerli dostum Dr. Esra Özkan’a, </w:t>
      </w:r>
    </w:p>
    <w:p w:rsidR="00E659A9" w:rsidRPr="00461F9A" w:rsidRDefault="00E659A9" w:rsidP="00EE3036">
      <w:pPr>
        <w:pStyle w:val="METN"/>
        <w:spacing w:line="276" w:lineRule="auto"/>
      </w:pPr>
      <w:r w:rsidRPr="00461F9A">
        <w:t>Asistanlık yıllarımda kıdemliden öte kardeşim, abim olarak gördüğüm, kişiliği, çalışkanlığı ile örnek, çok şeyler öğrendiğim değerli insan Dr. Mehmet Yasir Pektezel’e,</w:t>
      </w:r>
    </w:p>
    <w:p w:rsidR="00E659A9" w:rsidRDefault="00E659A9" w:rsidP="00EE3036">
      <w:pPr>
        <w:pStyle w:val="METN"/>
        <w:spacing w:line="276" w:lineRule="auto"/>
      </w:pPr>
      <w:r w:rsidRPr="00461F9A">
        <w:t>Tatlı sohbetleriyle yüzümü her zaman güldürmeyi başaran, birçok konudaki düşüncelerinden çok şey öğrendiğim ve nihayetinde sahip olduğu içtenlikten dolayı iyi ki tanımışım dediğim sevgili kardeşim Dr. Serhat Okar’a,</w:t>
      </w:r>
    </w:p>
    <w:p w:rsidR="001731FC" w:rsidRPr="00461F9A" w:rsidRDefault="00125831" w:rsidP="00EE3036">
      <w:pPr>
        <w:pStyle w:val="METN"/>
        <w:spacing w:line="276" w:lineRule="auto"/>
      </w:pPr>
      <w:r>
        <w:t>Esrarengiz sohbetlerine doyum olmayan,</w:t>
      </w:r>
      <w:r w:rsidR="00D11E00">
        <w:t xml:space="preserve"> eşkıdemliden öte çok iyi arkadaşım olan değerli kardeşim Dr. Erdal Kurt’a,</w:t>
      </w:r>
    </w:p>
    <w:p w:rsidR="00E659A9" w:rsidRPr="00461F9A" w:rsidRDefault="00E659A9" w:rsidP="00EE3036">
      <w:pPr>
        <w:pStyle w:val="METN"/>
        <w:spacing w:line="276" w:lineRule="auto"/>
      </w:pPr>
      <w:r w:rsidRPr="00461F9A">
        <w:t xml:space="preserve">Birçok konuda tam </w:t>
      </w:r>
      <w:proofErr w:type="gramStart"/>
      <w:r w:rsidRPr="00461F9A">
        <w:t>antagonistim</w:t>
      </w:r>
      <w:proofErr w:type="gramEnd"/>
      <w:r w:rsidRPr="00461F9A">
        <w:t xml:space="preserve"> olan, aramızdaki dostluğu farklı kutupların birbirini çekmesiyle açıklayabileceğim sevgili kardeşim Dr. Umur Türkyılmaz’a,</w:t>
      </w:r>
    </w:p>
    <w:p w:rsidR="00E659A9" w:rsidRPr="00461F9A" w:rsidRDefault="00E659A9" w:rsidP="00EE3036">
      <w:pPr>
        <w:pStyle w:val="METN"/>
        <w:spacing w:line="276" w:lineRule="auto"/>
      </w:pPr>
      <w:r w:rsidRPr="00461F9A">
        <w:t>Ülkenden binlerce kilometre uzakta</w:t>
      </w:r>
      <w:r w:rsidR="001731FC">
        <w:t xml:space="preserve"> olsam bile ister hastanede</w:t>
      </w:r>
      <w:r w:rsidRPr="00461F9A">
        <w:t>, ister hastane dışında varlığı, desteği ve kişiliği ile gerektiğinde çok iyi arkadaşım, gerektiğinde</w:t>
      </w:r>
      <w:r w:rsidR="001731FC">
        <w:t>yse</w:t>
      </w:r>
      <w:r w:rsidRPr="00461F9A">
        <w:t xml:space="preserve"> ailem olmuş Dr. Sabina Aslan’a,</w:t>
      </w:r>
    </w:p>
    <w:p w:rsidR="00E659A9" w:rsidRPr="00461F9A" w:rsidRDefault="00E659A9" w:rsidP="00EE3036">
      <w:pPr>
        <w:pStyle w:val="METN"/>
        <w:spacing w:line="276" w:lineRule="auto"/>
      </w:pPr>
      <w:r w:rsidRPr="00461F9A">
        <w:lastRenderedPageBreak/>
        <w:t>Asistanlık süresinde kendilerinden çok şeyler öğrendiğim değerli kıdemli abilerim ve ablalarıma,  bu sürede tüm paylaştıklarımız ve yaşadıklarımız için tüm asistan arkadaşlarıma teşekkür ederim.</w:t>
      </w:r>
    </w:p>
    <w:p w:rsidR="00E659A9" w:rsidRDefault="00E659A9">
      <w:pPr>
        <w:rPr>
          <w:rFonts w:ascii="Arial" w:hAnsi="Arial" w:cs="Arial"/>
          <w:b/>
          <w:sz w:val="28"/>
          <w:szCs w:val="28"/>
        </w:rPr>
      </w:pPr>
      <w:r>
        <w:rPr>
          <w:rFonts w:ascii="Arial" w:hAnsi="Arial" w:cs="Arial"/>
          <w:b/>
          <w:sz w:val="28"/>
          <w:szCs w:val="28"/>
        </w:rPr>
        <w:br w:type="page"/>
      </w:r>
    </w:p>
    <w:p w:rsidR="00E659A9" w:rsidRPr="00461F9A" w:rsidRDefault="00E659A9" w:rsidP="00EE3036">
      <w:pPr>
        <w:pStyle w:val="Balk1"/>
      </w:pPr>
      <w:bookmarkStart w:id="1" w:name="_Toc492677320"/>
      <w:r w:rsidRPr="00461F9A">
        <w:lastRenderedPageBreak/>
        <w:t>ÖZET</w:t>
      </w:r>
      <w:bookmarkEnd w:id="1"/>
    </w:p>
    <w:p w:rsidR="00E659A9" w:rsidRPr="00461F9A" w:rsidRDefault="00E659A9" w:rsidP="00461F9A">
      <w:pPr>
        <w:jc w:val="both"/>
        <w:rPr>
          <w:rFonts w:ascii="Arial" w:hAnsi="Arial" w:cs="Arial"/>
          <w:sz w:val="24"/>
          <w:szCs w:val="24"/>
        </w:rPr>
      </w:pPr>
      <w:r w:rsidRPr="00461F9A">
        <w:rPr>
          <w:rFonts w:ascii="Arial" w:hAnsi="Arial" w:cs="Arial"/>
          <w:b/>
          <w:color w:val="000000"/>
          <w:sz w:val="24"/>
          <w:szCs w:val="24"/>
        </w:rPr>
        <w:t xml:space="preserve">Hasiyev F, Arsava EM, Topçuoğlu MA. Migren, Aura, Patent Foramen Ovale ve Vazomotor Reaktivite. Hacettepe Üniversitesi Tıp Fakültesi Nöroloji Anabilim Dalı, Uzmanlık Tezi, Ankara, 2017. </w:t>
      </w:r>
      <w:r w:rsidRPr="00461F9A">
        <w:rPr>
          <w:rFonts w:ascii="Arial" w:hAnsi="Arial" w:cs="Arial"/>
          <w:color w:val="000000"/>
          <w:sz w:val="24"/>
          <w:szCs w:val="24"/>
        </w:rPr>
        <w:t xml:space="preserve"> Bu, migrenli kişilerde geniş debili sağdan sola şant (RLS) olan patent foramen ovalenin (PFO) serebral vazomotor reaktiviteye (CVMR) olan etkisine bakılmış ilk çalışmadır. Bununla beraber, çalışmamızda “Bubble” TCD testi sırasında enjekte edilmiş mikro hava kabarcıklarının (MB) CMVR üzerine etkisi de araştırılmıştır. Çalışmaya 38 migrenli (19 tanesi auralı migren) ve 18 kontrol biray alındı. Bu kişilerin 26 tanesinde geniş debili PFO vardı, hafif veya orta debili PFO (+) kişiler çalışmaya alınmadı. Tüm hastalarda TCD ile bilateral orta ve arka serebral arterlerde (MCA ve PCA) breath holding index (BHI, vazodilatör kapasitesi-vdCVMR) ve hiperventilasyon sırasında azalmanın yüzdesine (vazokonstriksiyon kapasitesi-vdCVMR) bubble testi öncesi ve sonrası bakıldı. PFO (+) olan migrenli kişilerde BHI MCA’da belirgin (1.43</w:t>
      </w:r>
      <w:r w:rsidRPr="00461F9A">
        <w:rPr>
          <w:rStyle w:val="ft3"/>
          <w:rFonts w:ascii="Arial" w:hAnsi="Arial" w:cs="Arial"/>
          <w:color w:val="000000"/>
          <w:sz w:val="24"/>
          <w:szCs w:val="24"/>
        </w:rPr>
        <w:t>±</w:t>
      </w:r>
      <w:r w:rsidRPr="00461F9A">
        <w:rPr>
          <w:rFonts w:ascii="Arial" w:hAnsi="Arial" w:cs="Arial"/>
          <w:color w:val="000000"/>
          <w:sz w:val="24"/>
          <w:szCs w:val="24"/>
        </w:rPr>
        <w:t>0.39 vs. 1.04</w:t>
      </w:r>
      <w:r w:rsidRPr="00461F9A">
        <w:rPr>
          <w:rStyle w:val="ft3"/>
          <w:rFonts w:ascii="Arial" w:hAnsi="Arial" w:cs="Arial"/>
          <w:color w:val="000000"/>
          <w:sz w:val="24"/>
          <w:szCs w:val="24"/>
        </w:rPr>
        <w:t>±</w:t>
      </w:r>
      <w:r w:rsidRPr="00461F9A">
        <w:rPr>
          <w:rFonts w:ascii="Arial" w:hAnsi="Arial" w:cs="Arial"/>
          <w:color w:val="000000"/>
          <w:sz w:val="24"/>
          <w:szCs w:val="24"/>
        </w:rPr>
        <w:t>0.67, p=0.032), PCA’da ise hafif azaldığı (1.01</w:t>
      </w:r>
      <w:r w:rsidRPr="00461F9A">
        <w:rPr>
          <w:rStyle w:val="ft3"/>
          <w:rFonts w:ascii="Arial" w:hAnsi="Arial" w:cs="Arial"/>
          <w:color w:val="000000"/>
          <w:sz w:val="24"/>
          <w:szCs w:val="24"/>
        </w:rPr>
        <w:t>±</w:t>
      </w:r>
      <w:r w:rsidRPr="00461F9A">
        <w:rPr>
          <w:rFonts w:ascii="Arial" w:hAnsi="Arial" w:cs="Arial"/>
          <w:color w:val="000000"/>
          <w:sz w:val="24"/>
          <w:szCs w:val="24"/>
        </w:rPr>
        <w:t>0.39 vs. 1.25</w:t>
      </w:r>
      <w:r w:rsidRPr="00461F9A">
        <w:rPr>
          <w:rStyle w:val="ft3"/>
          <w:rFonts w:ascii="Arial" w:hAnsi="Arial" w:cs="Arial"/>
          <w:color w:val="000000"/>
          <w:sz w:val="24"/>
          <w:szCs w:val="24"/>
        </w:rPr>
        <w:t>±</w:t>
      </w:r>
      <w:r w:rsidRPr="00461F9A">
        <w:rPr>
          <w:rFonts w:ascii="Arial" w:hAnsi="Arial" w:cs="Arial"/>
          <w:color w:val="000000"/>
          <w:sz w:val="24"/>
          <w:szCs w:val="24"/>
        </w:rPr>
        <w:t>0.46, p=0.090) gösterdi. vdCVMR azalması özellikle ağrı tarafının kontralateralinde daha belirgindi. BHI parametrelerinin ajte salin bolusunu takiben PCA’da tüm gruplarda belirgin azaldığı görüldü. Bu azalmanın PFO açısından bakıldığında, geniş debili şantı olanlarda (1.03</w:t>
      </w:r>
      <w:r w:rsidRPr="00461F9A">
        <w:rPr>
          <w:rStyle w:val="ft3"/>
          <w:rFonts w:ascii="Arial" w:hAnsi="Arial" w:cs="Arial"/>
          <w:color w:val="000000"/>
          <w:sz w:val="24"/>
          <w:szCs w:val="24"/>
        </w:rPr>
        <w:t>±</w:t>
      </w:r>
      <w:r w:rsidRPr="00461F9A">
        <w:rPr>
          <w:rFonts w:ascii="Arial" w:hAnsi="Arial" w:cs="Arial"/>
          <w:color w:val="000000"/>
          <w:sz w:val="24"/>
          <w:szCs w:val="24"/>
        </w:rPr>
        <w:t>0.40’dan 0.78</w:t>
      </w:r>
      <w:r w:rsidRPr="00461F9A">
        <w:rPr>
          <w:rStyle w:val="ft3"/>
          <w:rFonts w:ascii="Arial" w:hAnsi="Arial" w:cs="Arial"/>
          <w:color w:val="000000"/>
          <w:sz w:val="24"/>
          <w:szCs w:val="24"/>
        </w:rPr>
        <w:t>±</w:t>
      </w:r>
      <w:r w:rsidRPr="00461F9A">
        <w:rPr>
          <w:rFonts w:ascii="Arial" w:hAnsi="Arial" w:cs="Arial"/>
          <w:color w:val="000000"/>
          <w:sz w:val="24"/>
          <w:szCs w:val="24"/>
        </w:rPr>
        <w:t>0.38’e, p=0.007), olmayanlara oranla (1.15</w:t>
      </w:r>
      <w:r w:rsidRPr="00461F9A">
        <w:rPr>
          <w:rStyle w:val="ft3"/>
          <w:rFonts w:ascii="Arial" w:hAnsi="Arial" w:cs="Arial"/>
          <w:color w:val="000000"/>
          <w:sz w:val="24"/>
          <w:szCs w:val="24"/>
        </w:rPr>
        <w:t>±</w:t>
      </w:r>
      <w:r w:rsidRPr="00461F9A">
        <w:rPr>
          <w:rFonts w:ascii="Arial" w:hAnsi="Arial" w:cs="Arial"/>
          <w:color w:val="000000"/>
          <w:sz w:val="24"/>
          <w:szCs w:val="24"/>
        </w:rPr>
        <w:t>0.42’dan 0.91</w:t>
      </w:r>
      <w:r w:rsidRPr="00461F9A">
        <w:rPr>
          <w:rStyle w:val="ft3"/>
          <w:rFonts w:ascii="Arial" w:hAnsi="Arial" w:cs="Arial"/>
          <w:color w:val="000000"/>
          <w:sz w:val="24"/>
          <w:szCs w:val="24"/>
        </w:rPr>
        <w:t>±</w:t>
      </w:r>
      <w:r w:rsidRPr="00461F9A">
        <w:rPr>
          <w:rFonts w:ascii="Arial" w:hAnsi="Arial" w:cs="Arial"/>
          <w:color w:val="000000"/>
          <w:sz w:val="24"/>
          <w:szCs w:val="24"/>
        </w:rPr>
        <w:t>0.45’e, p=0.014) daha belirgin olduğu görüldü. Azalma özellikle migren ve PFO birlikteliği olan kişilerde daha dikat çekici idi (1.01</w:t>
      </w:r>
      <w:r w:rsidRPr="00461F9A">
        <w:rPr>
          <w:rStyle w:val="ft3"/>
          <w:rFonts w:ascii="Arial" w:hAnsi="Arial" w:cs="Arial"/>
          <w:color w:val="000000"/>
          <w:sz w:val="24"/>
          <w:szCs w:val="24"/>
        </w:rPr>
        <w:t>±</w:t>
      </w:r>
      <w:r w:rsidRPr="00461F9A">
        <w:rPr>
          <w:rFonts w:ascii="Arial" w:hAnsi="Arial" w:cs="Arial"/>
          <w:color w:val="000000"/>
          <w:sz w:val="24"/>
          <w:szCs w:val="24"/>
        </w:rPr>
        <w:t>0.40’dan 0.76</w:t>
      </w:r>
      <w:r w:rsidRPr="00461F9A">
        <w:rPr>
          <w:rStyle w:val="ft3"/>
          <w:rFonts w:ascii="Arial" w:hAnsi="Arial" w:cs="Arial"/>
          <w:color w:val="000000"/>
          <w:sz w:val="24"/>
          <w:szCs w:val="24"/>
        </w:rPr>
        <w:t>±</w:t>
      </w:r>
      <w:r w:rsidRPr="00461F9A">
        <w:rPr>
          <w:rFonts w:ascii="Arial" w:hAnsi="Arial" w:cs="Arial"/>
          <w:color w:val="000000"/>
          <w:sz w:val="24"/>
          <w:szCs w:val="24"/>
        </w:rPr>
        <w:t>0.42’e, p=0.023). MCA’ın BHI parametrelerinde ajite serum fizyolojik injeksiyonu sonrasında anlamlı değişiklik izlenmedi. PFO (+) ve PFO (-) gruplar arasında vcCVMR parametresinde fark saptanmadı. FLAIR sekansında sessiz iskemik lezyon veya lezyonları olan kişilerin VMR yanıtlarında bubble öncesi ve sonrası fark izlenmedi. Sonuç: Geniş debili PFO olan migrenli kişilerde vdCVMR belirgin düşüş göstermektedir. MB geçişini takiben PCA’ın vdCVMR’de olan düşüş migrenin başlamasında rolü olduğu düşünülen “mikroembolizm nedeniyle subklinik serebral iskeminin fasilitasyonu” hipotezini desteklemektedir.</w:t>
      </w:r>
    </w:p>
    <w:p w:rsidR="00E659A9" w:rsidRPr="00461F9A" w:rsidRDefault="00E659A9" w:rsidP="00461F9A">
      <w:pPr>
        <w:jc w:val="both"/>
        <w:rPr>
          <w:rFonts w:ascii="Arial" w:hAnsi="Arial" w:cs="Arial"/>
          <w:sz w:val="24"/>
          <w:szCs w:val="24"/>
        </w:rPr>
      </w:pPr>
      <w:r w:rsidRPr="00461F9A">
        <w:rPr>
          <w:rFonts w:ascii="Arial" w:hAnsi="Arial" w:cs="Arial"/>
          <w:b/>
          <w:sz w:val="24"/>
          <w:szCs w:val="24"/>
        </w:rPr>
        <w:t>Anahtar kelimeler:</w:t>
      </w:r>
      <w:r w:rsidRPr="00461F9A">
        <w:rPr>
          <w:rFonts w:ascii="Arial" w:hAnsi="Arial" w:cs="Arial"/>
          <w:sz w:val="24"/>
          <w:szCs w:val="24"/>
        </w:rPr>
        <w:t xml:space="preserve"> Migren, patent foramen ovale, reaktivite, serebral mikrosirkülasyon, vazodilatasyon</w:t>
      </w:r>
    </w:p>
    <w:p w:rsidR="00E659A9" w:rsidRPr="00461F9A" w:rsidRDefault="00E659A9">
      <w:pPr>
        <w:rPr>
          <w:rFonts w:ascii="Arial" w:hAnsi="Arial" w:cs="Arial"/>
          <w:sz w:val="24"/>
          <w:szCs w:val="24"/>
        </w:rPr>
      </w:pPr>
      <w:r w:rsidRPr="00461F9A">
        <w:rPr>
          <w:rFonts w:ascii="Arial" w:hAnsi="Arial" w:cs="Arial"/>
          <w:sz w:val="24"/>
          <w:szCs w:val="24"/>
        </w:rPr>
        <w:br w:type="page"/>
      </w:r>
    </w:p>
    <w:p w:rsidR="00E659A9" w:rsidRPr="00461F9A" w:rsidRDefault="00E659A9" w:rsidP="00EE3036">
      <w:pPr>
        <w:pStyle w:val="Balk1"/>
        <w:rPr>
          <w:b w:val="0"/>
        </w:rPr>
      </w:pPr>
      <w:bookmarkStart w:id="2" w:name="_Toc492677321"/>
      <w:r w:rsidRPr="00EE3036">
        <w:lastRenderedPageBreak/>
        <w:t>ABSTRACT</w:t>
      </w:r>
      <w:bookmarkEnd w:id="2"/>
    </w:p>
    <w:p w:rsidR="00E659A9" w:rsidRPr="00461F9A" w:rsidRDefault="00E659A9" w:rsidP="00461F9A">
      <w:pPr>
        <w:jc w:val="both"/>
        <w:rPr>
          <w:rFonts w:ascii="Arial" w:hAnsi="Arial" w:cs="Arial"/>
          <w:sz w:val="24"/>
          <w:szCs w:val="24"/>
        </w:rPr>
      </w:pPr>
      <w:r w:rsidRPr="00461F9A">
        <w:rPr>
          <w:rFonts w:ascii="Arial" w:hAnsi="Arial" w:cs="Arial"/>
          <w:b/>
          <w:color w:val="000000"/>
          <w:sz w:val="24"/>
          <w:szCs w:val="24"/>
        </w:rPr>
        <w:t xml:space="preserve">Khasiyev F, Arsava EM, Topcuoglu MA. Interplay Between Patent Foramen Ovale, Migraine, Stroke And Cerebral Vasomotor Reactivity. Hacettepe University Faculty of Medicine Department of Neurology, Thesis, Ankara, 2017. </w:t>
      </w:r>
      <w:r w:rsidRPr="00461F9A">
        <w:rPr>
          <w:rFonts w:ascii="Arial" w:hAnsi="Arial" w:cs="Arial"/>
          <w:color w:val="000000"/>
          <w:sz w:val="24"/>
          <w:szCs w:val="24"/>
        </w:rPr>
        <w:t xml:space="preserve"> The first data on influence of patent foramen ovale (PFO) with </w:t>
      </w:r>
      <w:r w:rsidRPr="00461F9A">
        <w:rPr>
          <w:rFonts w:ascii="Arial" w:hAnsi="Arial" w:cs="Arial"/>
          <w:sz w:val="24"/>
          <w:szCs w:val="24"/>
        </w:rPr>
        <w:t>high-volume</w:t>
      </w:r>
      <w:r w:rsidRPr="00461F9A">
        <w:rPr>
          <w:rFonts w:ascii="Arial" w:hAnsi="Arial" w:cs="Arial"/>
          <w:color w:val="000000"/>
          <w:sz w:val="24"/>
          <w:szCs w:val="24"/>
        </w:rPr>
        <w:t xml:space="preserve"> </w:t>
      </w:r>
      <w:r w:rsidRPr="00461F9A">
        <w:rPr>
          <w:rFonts w:ascii="Arial" w:hAnsi="Arial" w:cs="Arial"/>
          <w:sz w:val="24"/>
          <w:szCs w:val="24"/>
        </w:rPr>
        <w:t>right-to-left</w:t>
      </w:r>
      <w:r w:rsidRPr="00461F9A">
        <w:rPr>
          <w:rFonts w:ascii="Arial" w:hAnsi="Arial" w:cs="Arial"/>
          <w:color w:val="000000"/>
          <w:sz w:val="24"/>
          <w:szCs w:val="24"/>
        </w:rPr>
        <w:t xml:space="preserve"> shunt (RLS) on cerebral vasomotor reactivity (CVMR) in migraineurs are presented. In addition, immediate effect of air microbubbles (MB), injected for the bubble TCD test, on CVMR has been determined. Breath holding index (BHI, vasodilatory </w:t>
      </w:r>
      <w:r w:rsidRPr="00461F9A">
        <w:rPr>
          <w:rFonts w:ascii="Arial" w:hAnsi="Arial" w:cs="Arial"/>
          <w:sz w:val="24"/>
          <w:szCs w:val="24"/>
        </w:rPr>
        <w:t>capacity-vdCVMR)</w:t>
      </w:r>
      <w:r w:rsidRPr="00461F9A">
        <w:rPr>
          <w:rFonts w:ascii="Arial" w:hAnsi="Arial" w:cs="Arial"/>
          <w:color w:val="000000"/>
          <w:sz w:val="24"/>
          <w:szCs w:val="24"/>
        </w:rPr>
        <w:t xml:space="preserve"> and percent decrease during hyperventilation (vasoconstriction </w:t>
      </w:r>
      <w:r w:rsidRPr="00461F9A">
        <w:rPr>
          <w:rFonts w:ascii="Arial" w:hAnsi="Arial" w:cs="Arial"/>
          <w:sz w:val="24"/>
          <w:szCs w:val="24"/>
        </w:rPr>
        <w:t>capacity-vcCVMR)</w:t>
      </w:r>
      <w:r w:rsidRPr="00461F9A">
        <w:rPr>
          <w:rFonts w:ascii="Arial" w:hAnsi="Arial" w:cs="Arial"/>
          <w:color w:val="000000"/>
          <w:sz w:val="24"/>
          <w:szCs w:val="24"/>
        </w:rPr>
        <w:t xml:space="preserve"> tests were performed before and after bubble TCD test in bilateral middle and posterior cerebral arteries (MCA and PCA) in 38 migraine (19 with aura) and 18 control patients; 26 patients had large PFO while others had no RLS. Subjects with mild/moderate RLS were not enrolled. Presence of PFO was related to a significant decrease of BHI recorded in MCA (1.43</w:t>
      </w:r>
      <w:r w:rsidRPr="00461F9A">
        <w:rPr>
          <w:rStyle w:val="ft3"/>
          <w:rFonts w:ascii="Arial" w:hAnsi="Arial" w:cs="Arial"/>
          <w:color w:val="000000"/>
          <w:sz w:val="24"/>
          <w:szCs w:val="24"/>
        </w:rPr>
        <w:t>±</w:t>
      </w:r>
      <w:r w:rsidRPr="00461F9A">
        <w:rPr>
          <w:rFonts w:ascii="Arial" w:hAnsi="Arial" w:cs="Arial"/>
          <w:color w:val="000000"/>
          <w:sz w:val="24"/>
          <w:szCs w:val="24"/>
        </w:rPr>
        <w:t>0.39 vs. 1.04</w:t>
      </w:r>
      <w:r w:rsidRPr="00461F9A">
        <w:rPr>
          <w:rStyle w:val="ft3"/>
          <w:rFonts w:ascii="Arial" w:hAnsi="Arial" w:cs="Arial"/>
          <w:color w:val="000000"/>
          <w:sz w:val="24"/>
          <w:szCs w:val="24"/>
        </w:rPr>
        <w:t>±</w:t>
      </w:r>
      <w:r w:rsidRPr="00461F9A">
        <w:rPr>
          <w:rFonts w:ascii="Arial" w:hAnsi="Arial" w:cs="Arial"/>
          <w:color w:val="000000"/>
          <w:sz w:val="24"/>
          <w:szCs w:val="24"/>
        </w:rPr>
        <w:t>0.67, p=0.032) and marginal reduction of PCA BHI (1.01</w:t>
      </w:r>
      <w:r w:rsidRPr="00461F9A">
        <w:rPr>
          <w:rStyle w:val="ft3"/>
          <w:rFonts w:ascii="Arial" w:hAnsi="Arial" w:cs="Arial"/>
          <w:color w:val="000000"/>
          <w:sz w:val="24"/>
          <w:szCs w:val="24"/>
        </w:rPr>
        <w:t>±</w:t>
      </w:r>
      <w:r w:rsidRPr="00461F9A">
        <w:rPr>
          <w:rFonts w:ascii="Arial" w:hAnsi="Arial" w:cs="Arial"/>
          <w:color w:val="000000"/>
          <w:sz w:val="24"/>
          <w:szCs w:val="24"/>
        </w:rPr>
        <w:t>0.39 vs. 1.25</w:t>
      </w:r>
      <w:r w:rsidRPr="00461F9A">
        <w:rPr>
          <w:rStyle w:val="ft3"/>
          <w:rFonts w:ascii="Arial" w:hAnsi="Arial" w:cs="Arial"/>
          <w:color w:val="000000"/>
          <w:sz w:val="24"/>
          <w:szCs w:val="24"/>
        </w:rPr>
        <w:t>±</w:t>
      </w:r>
      <w:r w:rsidRPr="00461F9A">
        <w:rPr>
          <w:rFonts w:ascii="Arial" w:hAnsi="Arial" w:cs="Arial"/>
          <w:color w:val="000000"/>
          <w:sz w:val="24"/>
          <w:szCs w:val="24"/>
        </w:rPr>
        <w:t>0.46, p=0.090) in migraineurs. vdCVMR reduction was more prominent in the contralateral side (to pain). PCA BHI significantly decreased after agitated saline injection in the bubble test. Decrease was greater in patients with PFO (from 1.03</w:t>
      </w:r>
      <w:r w:rsidRPr="00461F9A">
        <w:rPr>
          <w:rStyle w:val="ft3"/>
          <w:rFonts w:ascii="Arial" w:hAnsi="Arial" w:cs="Arial"/>
          <w:color w:val="000000"/>
          <w:sz w:val="24"/>
          <w:szCs w:val="24"/>
        </w:rPr>
        <w:t>±</w:t>
      </w:r>
      <w:r w:rsidRPr="00461F9A">
        <w:rPr>
          <w:rFonts w:ascii="Arial" w:hAnsi="Arial" w:cs="Arial"/>
          <w:color w:val="000000"/>
          <w:sz w:val="24"/>
          <w:szCs w:val="24"/>
        </w:rPr>
        <w:t>0.40 to 0.78</w:t>
      </w:r>
      <w:r w:rsidRPr="00461F9A">
        <w:rPr>
          <w:rStyle w:val="ft3"/>
          <w:rFonts w:ascii="Arial" w:hAnsi="Arial" w:cs="Arial"/>
          <w:color w:val="000000"/>
          <w:sz w:val="24"/>
          <w:szCs w:val="24"/>
        </w:rPr>
        <w:t>±</w:t>
      </w:r>
      <w:r w:rsidRPr="00461F9A">
        <w:rPr>
          <w:rFonts w:ascii="Arial" w:hAnsi="Arial" w:cs="Arial"/>
          <w:color w:val="000000"/>
          <w:sz w:val="24"/>
          <w:szCs w:val="24"/>
        </w:rPr>
        <w:t>0.38, p=0.007) compared those without PFO (from 1.15</w:t>
      </w:r>
      <w:r w:rsidRPr="00461F9A">
        <w:rPr>
          <w:rStyle w:val="ft3"/>
          <w:rFonts w:ascii="Arial" w:hAnsi="Arial" w:cs="Arial"/>
          <w:color w:val="000000"/>
          <w:sz w:val="24"/>
          <w:szCs w:val="24"/>
        </w:rPr>
        <w:t>±</w:t>
      </w:r>
      <w:r w:rsidRPr="00461F9A">
        <w:rPr>
          <w:rFonts w:ascii="Arial" w:hAnsi="Arial" w:cs="Arial"/>
          <w:color w:val="000000"/>
          <w:sz w:val="24"/>
          <w:szCs w:val="24"/>
        </w:rPr>
        <w:t>0.42 to 0.91</w:t>
      </w:r>
      <w:r w:rsidRPr="00461F9A">
        <w:rPr>
          <w:rStyle w:val="ft3"/>
          <w:rFonts w:ascii="Arial" w:hAnsi="Arial" w:cs="Arial"/>
          <w:color w:val="000000"/>
          <w:sz w:val="24"/>
          <w:szCs w:val="24"/>
        </w:rPr>
        <w:t>±</w:t>
      </w:r>
      <w:r w:rsidRPr="00461F9A">
        <w:rPr>
          <w:rFonts w:ascii="Arial" w:hAnsi="Arial" w:cs="Arial"/>
          <w:color w:val="000000"/>
          <w:sz w:val="24"/>
          <w:szCs w:val="24"/>
        </w:rPr>
        <w:t>0.45, p=0.014). The decrease was prominent in subjects with both migraine and PFO (from 1.01</w:t>
      </w:r>
      <w:r w:rsidRPr="00461F9A">
        <w:rPr>
          <w:rStyle w:val="ft3"/>
          <w:rFonts w:ascii="Arial" w:hAnsi="Arial" w:cs="Arial"/>
          <w:color w:val="000000"/>
          <w:sz w:val="24"/>
          <w:szCs w:val="24"/>
        </w:rPr>
        <w:t>±</w:t>
      </w:r>
      <w:r w:rsidRPr="00461F9A">
        <w:rPr>
          <w:rFonts w:ascii="Arial" w:hAnsi="Arial" w:cs="Arial"/>
          <w:color w:val="000000"/>
          <w:sz w:val="24"/>
          <w:szCs w:val="24"/>
        </w:rPr>
        <w:t>0.40 to 0.76</w:t>
      </w:r>
      <w:r w:rsidRPr="00461F9A">
        <w:rPr>
          <w:rStyle w:val="ft3"/>
          <w:rFonts w:ascii="Arial" w:hAnsi="Arial" w:cs="Arial"/>
          <w:color w:val="000000"/>
          <w:sz w:val="24"/>
          <w:szCs w:val="24"/>
        </w:rPr>
        <w:t>±</w:t>
      </w:r>
      <w:r w:rsidRPr="00461F9A">
        <w:rPr>
          <w:rFonts w:ascii="Arial" w:hAnsi="Arial" w:cs="Arial"/>
          <w:color w:val="000000"/>
          <w:sz w:val="24"/>
          <w:szCs w:val="24"/>
        </w:rPr>
        <w:t xml:space="preserve">0.42, p=0.023). No significant difference was seen in BHI with MCA after bubble injection. No difference was noted for the parameters of vcCVMR in subjects with/without PFO. Patients with </w:t>
      </w:r>
      <w:r w:rsidRPr="00461F9A">
        <w:rPr>
          <w:rFonts w:ascii="Arial" w:hAnsi="Arial" w:cs="Arial"/>
          <w:sz w:val="24"/>
          <w:szCs w:val="24"/>
        </w:rPr>
        <w:t>FLAIR-determined</w:t>
      </w:r>
      <w:r w:rsidRPr="00461F9A">
        <w:rPr>
          <w:rFonts w:ascii="Arial" w:hAnsi="Arial" w:cs="Arial"/>
          <w:color w:val="000000"/>
          <w:sz w:val="24"/>
          <w:szCs w:val="24"/>
        </w:rPr>
        <w:t xml:space="preserve"> silent ischemic lesion(s) had no difference in VMR before bubble test and VMR response to aerated bubble passage. The presence of PFO with high grade RLS is associated with reduced vasodilatory CVMR in migraineurs. Further decrease of vdCVMR of PCA upon MBs passage may support the mechanism of " facilitation with subclinical cerebral ischemia caused by microembolism", one of the hypotheses explaining the onset of migraine.</w:t>
      </w:r>
    </w:p>
    <w:p w:rsidR="00E659A9" w:rsidRPr="00461F9A" w:rsidRDefault="00E659A9" w:rsidP="001731FC">
      <w:pPr>
        <w:rPr>
          <w:rFonts w:ascii="Arial" w:hAnsi="Arial" w:cs="Arial"/>
          <w:b/>
          <w:sz w:val="24"/>
          <w:szCs w:val="24"/>
        </w:rPr>
      </w:pPr>
      <w:r w:rsidRPr="00461F9A">
        <w:rPr>
          <w:rFonts w:ascii="Arial" w:hAnsi="Arial" w:cs="Arial"/>
          <w:b/>
          <w:color w:val="222222"/>
          <w:sz w:val="24"/>
          <w:szCs w:val="24"/>
          <w:lang w:val="en"/>
        </w:rPr>
        <w:t>Key words:</w:t>
      </w:r>
      <w:r w:rsidRPr="00461F9A">
        <w:rPr>
          <w:rFonts w:ascii="Arial" w:hAnsi="Arial" w:cs="Arial"/>
          <w:color w:val="222222"/>
          <w:sz w:val="24"/>
          <w:szCs w:val="24"/>
          <w:lang w:val="en"/>
        </w:rPr>
        <w:t xml:space="preserve"> migraine, patent foramen ovale, reactivity, cerebral microcirculation, vasodilatation</w:t>
      </w:r>
    </w:p>
    <w:p w:rsidR="00E659A9" w:rsidRDefault="00E659A9">
      <w:pPr>
        <w:rPr>
          <w:rFonts w:ascii="Arial" w:hAnsi="Arial" w:cs="Arial"/>
          <w:sz w:val="28"/>
          <w:szCs w:val="28"/>
        </w:rPr>
      </w:pPr>
      <w:r>
        <w:rPr>
          <w:rFonts w:ascii="Arial" w:hAnsi="Arial" w:cs="Arial"/>
          <w:sz w:val="28"/>
          <w:szCs w:val="28"/>
        </w:rPr>
        <w:br w:type="page"/>
      </w:r>
    </w:p>
    <w:p w:rsidR="00EE3036" w:rsidRDefault="00EE3036" w:rsidP="00EE3036">
      <w:pPr>
        <w:pStyle w:val="Balk1"/>
      </w:pPr>
      <w:bookmarkStart w:id="3" w:name="_Toc492677322"/>
      <w:r>
        <w:lastRenderedPageBreak/>
        <w:t>İÇİNDEKİLER</w:t>
      </w:r>
      <w:bookmarkEnd w:id="3"/>
    </w:p>
    <w:p w:rsidR="007259BF" w:rsidRDefault="007259BF">
      <w:pPr>
        <w:pStyle w:val="T1"/>
        <w:tabs>
          <w:tab w:val="right" w:pos="8210"/>
        </w:tabs>
        <w:rPr>
          <w:rFonts w:asciiTheme="minorHAnsi" w:eastAsiaTheme="minorEastAsia" w:hAnsiTheme="minorHAnsi"/>
          <w:noProof/>
          <w:sz w:val="22"/>
          <w:lang w:eastAsia="tr-TR"/>
        </w:rPr>
      </w:pPr>
      <w:r>
        <w:rPr>
          <w:rFonts w:cs="Arial"/>
        </w:rPr>
        <w:fldChar w:fldCharType="begin"/>
      </w:r>
      <w:r>
        <w:rPr>
          <w:rFonts w:cs="Arial"/>
        </w:rPr>
        <w:instrText xml:space="preserve"> TOC \o "1-3" \u </w:instrText>
      </w:r>
      <w:r>
        <w:rPr>
          <w:rFonts w:cs="Arial"/>
        </w:rPr>
        <w:fldChar w:fldCharType="separate"/>
      </w:r>
      <w:r>
        <w:rPr>
          <w:noProof/>
        </w:rPr>
        <w:t>TEŞEKKÜR</w:t>
      </w:r>
      <w:r>
        <w:rPr>
          <w:noProof/>
        </w:rPr>
        <w:tab/>
      </w:r>
      <w:r>
        <w:rPr>
          <w:noProof/>
        </w:rPr>
        <w:fldChar w:fldCharType="begin"/>
      </w:r>
      <w:r>
        <w:rPr>
          <w:noProof/>
        </w:rPr>
        <w:instrText xml:space="preserve"> PAGEREF _Toc492677319 \h </w:instrText>
      </w:r>
      <w:r>
        <w:rPr>
          <w:noProof/>
        </w:rPr>
      </w:r>
      <w:r>
        <w:rPr>
          <w:noProof/>
        </w:rPr>
        <w:fldChar w:fldCharType="separate"/>
      </w:r>
      <w:r>
        <w:rPr>
          <w:noProof/>
        </w:rPr>
        <w:t>iii</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ÖZET</w:t>
      </w:r>
      <w:r>
        <w:rPr>
          <w:noProof/>
        </w:rPr>
        <w:tab/>
      </w:r>
      <w:r>
        <w:rPr>
          <w:noProof/>
        </w:rPr>
        <w:fldChar w:fldCharType="begin"/>
      </w:r>
      <w:r>
        <w:rPr>
          <w:noProof/>
        </w:rPr>
        <w:instrText xml:space="preserve"> PAGEREF _Toc492677320 \h </w:instrText>
      </w:r>
      <w:r>
        <w:rPr>
          <w:noProof/>
        </w:rPr>
      </w:r>
      <w:r>
        <w:rPr>
          <w:noProof/>
        </w:rPr>
        <w:fldChar w:fldCharType="separate"/>
      </w:r>
      <w:r>
        <w:rPr>
          <w:noProof/>
        </w:rPr>
        <w:t>v</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ABSTRACT</w:t>
      </w:r>
      <w:r>
        <w:rPr>
          <w:noProof/>
        </w:rPr>
        <w:tab/>
      </w:r>
      <w:r>
        <w:rPr>
          <w:noProof/>
        </w:rPr>
        <w:fldChar w:fldCharType="begin"/>
      </w:r>
      <w:r>
        <w:rPr>
          <w:noProof/>
        </w:rPr>
        <w:instrText xml:space="preserve"> PAGEREF _Toc492677321 \h </w:instrText>
      </w:r>
      <w:r>
        <w:rPr>
          <w:noProof/>
        </w:rPr>
      </w:r>
      <w:r>
        <w:rPr>
          <w:noProof/>
        </w:rPr>
        <w:fldChar w:fldCharType="separate"/>
      </w:r>
      <w:r>
        <w:rPr>
          <w:noProof/>
        </w:rPr>
        <w:t>vi</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İÇİNDEKİLER</w:t>
      </w:r>
      <w:r>
        <w:rPr>
          <w:noProof/>
        </w:rPr>
        <w:tab/>
      </w:r>
      <w:r>
        <w:rPr>
          <w:noProof/>
        </w:rPr>
        <w:fldChar w:fldCharType="begin"/>
      </w:r>
      <w:r>
        <w:rPr>
          <w:noProof/>
        </w:rPr>
        <w:instrText xml:space="preserve"> PAGEREF _Toc492677322 \h </w:instrText>
      </w:r>
      <w:r>
        <w:rPr>
          <w:noProof/>
        </w:rPr>
      </w:r>
      <w:r>
        <w:rPr>
          <w:noProof/>
        </w:rPr>
        <w:fldChar w:fldCharType="separate"/>
      </w:r>
      <w:r>
        <w:rPr>
          <w:noProof/>
        </w:rPr>
        <w:t>vii</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SİMGELER VE KISALTMALAR</w:t>
      </w:r>
      <w:r>
        <w:rPr>
          <w:noProof/>
        </w:rPr>
        <w:tab/>
      </w:r>
      <w:r>
        <w:rPr>
          <w:noProof/>
        </w:rPr>
        <w:fldChar w:fldCharType="begin"/>
      </w:r>
      <w:r>
        <w:rPr>
          <w:noProof/>
        </w:rPr>
        <w:instrText xml:space="preserve"> PAGEREF _Toc492677323 \h </w:instrText>
      </w:r>
      <w:r>
        <w:rPr>
          <w:noProof/>
        </w:rPr>
      </w:r>
      <w:r>
        <w:rPr>
          <w:noProof/>
        </w:rPr>
        <w:fldChar w:fldCharType="separate"/>
      </w:r>
      <w:r>
        <w:rPr>
          <w:noProof/>
        </w:rPr>
        <w:t>ix</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RESİMLER</w:t>
      </w:r>
      <w:r>
        <w:rPr>
          <w:noProof/>
        </w:rPr>
        <w:tab/>
      </w:r>
      <w:r>
        <w:rPr>
          <w:noProof/>
        </w:rPr>
        <w:fldChar w:fldCharType="begin"/>
      </w:r>
      <w:r>
        <w:rPr>
          <w:noProof/>
        </w:rPr>
        <w:instrText xml:space="preserve"> PAGEREF _Toc492677324 \h </w:instrText>
      </w:r>
      <w:r>
        <w:rPr>
          <w:noProof/>
        </w:rPr>
      </w:r>
      <w:r>
        <w:rPr>
          <w:noProof/>
        </w:rPr>
        <w:fldChar w:fldCharType="separate"/>
      </w:r>
      <w:r>
        <w:rPr>
          <w:noProof/>
        </w:rPr>
        <w:t>xi</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TABLOLAR</w:t>
      </w:r>
      <w:r>
        <w:rPr>
          <w:noProof/>
        </w:rPr>
        <w:tab/>
      </w:r>
      <w:r>
        <w:rPr>
          <w:noProof/>
        </w:rPr>
        <w:fldChar w:fldCharType="begin"/>
      </w:r>
      <w:r>
        <w:rPr>
          <w:noProof/>
        </w:rPr>
        <w:instrText xml:space="preserve"> PAGEREF _Toc492677325 \h </w:instrText>
      </w:r>
      <w:r>
        <w:rPr>
          <w:noProof/>
        </w:rPr>
      </w:r>
      <w:r>
        <w:rPr>
          <w:noProof/>
        </w:rPr>
        <w:fldChar w:fldCharType="separate"/>
      </w:r>
      <w:r>
        <w:rPr>
          <w:noProof/>
        </w:rPr>
        <w:t>xii</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1. GİRİŞ</w:t>
      </w:r>
      <w:r>
        <w:rPr>
          <w:noProof/>
        </w:rPr>
        <w:tab/>
      </w:r>
      <w:r>
        <w:rPr>
          <w:noProof/>
        </w:rPr>
        <w:fldChar w:fldCharType="begin"/>
      </w:r>
      <w:r>
        <w:rPr>
          <w:noProof/>
        </w:rPr>
        <w:instrText xml:space="preserve"> PAGEREF _Toc492677326 \h </w:instrText>
      </w:r>
      <w:r>
        <w:rPr>
          <w:noProof/>
        </w:rPr>
      </w:r>
      <w:r>
        <w:rPr>
          <w:noProof/>
        </w:rPr>
        <w:fldChar w:fldCharType="separate"/>
      </w:r>
      <w:r>
        <w:rPr>
          <w:noProof/>
        </w:rPr>
        <w:t>1</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1.1 Migren Epidemiyoloji</w:t>
      </w:r>
      <w:r>
        <w:rPr>
          <w:noProof/>
        </w:rPr>
        <w:tab/>
      </w:r>
      <w:r>
        <w:rPr>
          <w:noProof/>
        </w:rPr>
        <w:fldChar w:fldCharType="begin"/>
      </w:r>
      <w:r>
        <w:rPr>
          <w:noProof/>
        </w:rPr>
        <w:instrText xml:space="preserve"> PAGEREF _Toc492677327 \h </w:instrText>
      </w:r>
      <w:r>
        <w:rPr>
          <w:noProof/>
        </w:rPr>
      </w:r>
      <w:r>
        <w:rPr>
          <w:noProof/>
        </w:rPr>
        <w:fldChar w:fldCharType="separate"/>
      </w:r>
      <w:r>
        <w:rPr>
          <w:noProof/>
        </w:rPr>
        <w:t>1</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1.2 Migrenin tanısı</w:t>
      </w:r>
      <w:r>
        <w:rPr>
          <w:noProof/>
        </w:rPr>
        <w:tab/>
      </w:r>
      <w:r>
        <w:rPr>
          <w:noProof/>
        </w:rPr>
        <w:fldChar w:fldCharType="begin"/>
      </w:r>
      <w:r>
        <w:rPr>
          <w:noProof/>
        </w:rPr>
        <w:instrText xml:space="preserve"> PAGEREF _Toc492677328 \h </w:instrText>
      </w:r>
      <w:r>
        <w:rPr>
          <w:noProof/>
        </w:rPr>
      </w:r>
      <w:r>
        <w:rPr>
          <w:noProof/>
        </w:rPr>
        <w:fldChar w:fldCharType="separate"/>
      </w:r>
      <w:r>
        <w:rPr>
          <w:noProof/>
        </w:rPr>
        <w:t>2</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1.3. Migrenin kliniği</w:t>
      </w:r>
      <w:r>
        <w:rPr>
          <w:noProof/>
        </w:rPr>
        <w:tab/>
      </w:r>
      <w:r>
        <w:rPr>
          <w:noProof/>
        </w:rPr>
        <w:fldChar w:fldCharType="begin"/>
      </w:r>
      <w:r>
        <w:rPr>
          <w:noProof/>
        </w:rPr>
        <w:instrText xml:space="preserve"> PAGEREF _Toc492677329 \h </w:instrText>
      </w:r>
      <w:r>
        <w:rPr>
          <w:noProof/>
        </w:rPr>
      </w:r>
      <w:r>
        <w:rPr>
          <w:noProof/>
        </w:rPr>
        <w:fldChar w:fldCharType="separate"/>
      </w:r>
      <w:r>
        <w:rPr>
          <w:noProof/>
        </w:rPr>
        <w:t>4</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1.4. Migrenin subtipleri</w:t>
      </w:r>
      <w:r>
        <w:rPr>
          <w:noProof/>
        </w:rPr>
        <w:tab/>
      </w:r>
      <w:r>
        <w:rPr>
          <w:noProof/>
        </w:rPr>
        <w:fldChar w:fldCharType="begin"/>
      </w:r>
      <w:r>
        <w:rPr>
          <w:noProof/>
        </w:rPr>
        <w:instrText xml:space="preserve"> PAGEREF _Toc492677330 \h </w:instrText>
      </w:r>
      <w:r>
        <w:rPr>
          <w:noProof/>
        </w:rPr>
      </w:r>
      <w:r>
        <w:rPr>
          <w:noProof/>
        </w:rPr>
        <w:fldChar w:fldCharType="separate"/>
      </w:r>
      <w:r>
        <w:rPr>
          <w:noProof/>
        </w:rPr>
        <w:t>6</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1.5. Migrenin patofizyolojisi</w:t>
      </w:r>
      <w:r>
        <w:rPr>
          <w:noProof/>
        </w:rPr>
        <w:tab/>
      </w:r>
      <w:r>
        <w:rPr>
          <w:noProof/>
        </w:rPr>
        <w:fldChar w:fldCharType="begin"/>
      </w:r>
      <w:r>
        <w:rPr>
          <w:noProof/>
        </w:rPr>
        <w:instrText xml:space="preserve"> PAGEREF _Toc492677331 \h </w:instrText>
      </w:r>
      <w:r>
        <w:rPr>
          <w:noProof/>
        </w:rPr>
      </w:r>
      <w:r>
        <w:rPr>
          <w:noProof/>
        </w:rPr>
        <w:fldChar w:fldCharType="separate"/>
      </w:r>
      <w:r>
        <w:rPr>
          <w:noProof/>
        </w:rPr>
        <w:t>11</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1.6. Migren genetiği</w:t>
      </w:r>
      <w:r>
        <w:rPr>
          <w:noProof/>
        </w:rPr>
        <w:tab/>
      </w:r>
      <w:r>
        <w:rPr>
          <w:noProof/>
        </w:rPr>
        <w:fldChar w:fldCharType="begin"/>
      </w:r>
      <w:r>
        <w:rPr>
          <w:noProof/>
        </w:rPr>
        <w:instrText xml:space="preserve"> PAGEREF _Toc492677332 \h </w:instrText>
      </w:r>
      <w:r>
        <w:rPr>
          <w:noProof/>
        </w:rPr>
      </w:r>
      <w:r>
        <w:rPr>
          <w:noProof/>
        </w:rPr>
        <w:fldChar w:fldCharType="separate"/>
      </w:r>
      <w:r>
        <w:rPr>
          <w:noProof/>
        </w:rPr>
        <w:t>17</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1.7. Migren ve nörogörüntüleme</w:t>
      </w:r>
      <w:r>
        <w:rPr>
          <w:noProof/>
        </w:rPr>
        <w:tab/>
      </w:r>
      <w:r>
        <w:rPr>
          <w:noProof/>
        </w:rPr>
        <w:fldChar w:fldCharType="begin"/>
      </w:r>
      <w:r>
        <w:rPr>
          <w:noProof/>
        </w:rPr>
        <w:instrText xml:space="preserve"> PAGEREF _Toc492677333 \h </w:instrText>
      </w:r>
      <w:r>
        <w:rPr>
          <w:noProof/>
        </w:rPr>
      </w:r>
      <w:r>
        <w:rPr>
          <w:noProof/>
        </w:rPr>
        <w:fldChar w:fldCharType="separate"/>
      </w:r>
      <w:r>
        <w:rPr>
          <w:noProof/>
        </w:rPr>
        <w:t>18</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1.8. Migren ve PFO</w:t>
      </w:r>
      <w:r>
        <w:rPr>
          <w:noProof/>
        </w:rPr>
        <w:tab/>
      </w:r>
      <w:r>
        <w:rPr>
          <w:noProof/>
        </w:rPr>
        <w:fldChar w:fldCharType="begin"/>
      </w:r>
      <w:r>
        <w:rPr>
          <w:noProof/>
        </w:rPr>
        <w:instrText xml:space="preserve"> PAGEREF _Toc492677334 \h </w:instrText>
      </w:r>
      <w:r>
        <w:rPr>
          <w:noProof/>
        </w:rPr>
      </w:r>
      <w:r>
        <w:rPr>
          <w:noProof/>
        </w:rPr>
        <w:fldChar w:fldCharType="separate"/>
      </w:r>
      <w:r>
        <w:rPr>
          <w:noProof/>
        </w:rPr>
        <w:t>22</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1.9. Migren ve inme</w:t>
      </w:r>
      <w:r>
        <w:rPr>
          <w:noProof/>
        </w:rPr>
        <w:tab/>
      </w:r>
      <w:r>
        <w:rPr>
          <w:noProof/>
        </w:rPr>
        <w:fldChar w:fldCharType="begin"/>
      </w:r>
      <w:r>
        <w:rPr>
          <w:noProof/>
        </w:rPr>
        <w:instrText xml:space="preserve"> PAGEREF _Toc492677335 \h </w:instrText>
      </w:r>
      <w:r>
        <w:rPr>
          <w:noProof/>
        </w:rPr>
      </w:r>
      <w:r>
        <w:rPr>
          <w:noProof/>
        </w:rPr>
        <w:fldChar w:fldCharType="separate"/>
      </w:r>
      <w:r>
        <w:rPr>
          <w:noProof/>
        </w:rPr>
        <w:t>27</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1.10. Serebral vazomotor reaktivite</w:t>
      </w:r>
      <w:r>
        <w:rPr>
          <w:noProof/>
        </w:rPr>
        <w:tab/>
      </w:r>
      <w:r>
        <w:rPr>
          <w:noProof/>
        </w:rPr>
        <w:fldChar w:fldCharType="begin"/>
      </w:r>
      <w:r>
        <w:rPr>
          <w:noProof/>
        </w:rPr>
        <w:instrText xml:space="preserve"> PAGEREF _Toc492677336 \h </w:instrText>
      </w:r>
      <w:r>
        <w:rPr>
          <w:noProof/>
        </w:rPr>
      </w:r>
      <w:r>
        <w:rPr>
          <w:noProof/>
        </w:rPr>
        <w:fldChar w:fldCharType="separate"/>
      </w:r>
      <w:r>
        <w:rPr>
          <w:noProof/>
        </w:rPr>
        <w:t>30</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1.11. Hipotezler, sorular ve planlar</w:t>
      </w:r>
      <w:r>
        <w:rPr>
          <w:noProof/>
        </w:rPr>
        <w:tab/>
      </w:r>
      <w:r>
        <w:rPr>
          <w:noProof/>
        </w:rPr>
        <w:fldChar w:fldCharType="begin"/>
      </w:r>
      <w:r>
        <w:rPr>
          <w:noProof/>
        </w:rPr>
        <w:instrText xml:space="preserve"> PAGEREF _Toc492677337 \h </w:instrText>
      </w:r>
      <w:r>
        <w:rPr>
          <w:noProof/>
        </w:rPr>
      </w:r>
      <w:r>
        <w:rPr>
          <w:noProof/>
        </w:rPr>
        <w:fldChar w:fldCharType="separate"/>
      </w:r>
      <w:r>
        <w:rPr>
          <w:noProof/>
        </w:rPr>
        <w:t>34</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2. YÖNTEM VE HASTALAR</w:t>
      </w:r>
      <w:r>
        <w:rPr>
          <w:noProof/>
        </w:rPr>
        <w:tab/>
      </w:r>
      <w:r>
        <w:rPr>
          <w:noProof/>
        </w:rPr>
        <w:fldChar w:fldCharType="begin"/>
      </w:r>
      <w:r>
        <w:rPr>
          <w:noProof/>
        </w:rPr>
        <w:instrText xml:space="preserve"> PAGEREF _Toc492677338 \h </w:instrText>
      </w:r>
      <w:r>
        <w:rPr>
          <w:noProof/>
        </w:rPr>
      </w:r>
      <w:r>
        <w:rPr>
          <w:noProof/>
        </w:rPr>
        <w:fldChar w:fldCharType="separate"/>
      </w:r>
      <w:r>
        <w:rPr>
          <w:noProof/>
        </w:rPr>
        <w:t>36</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2.1 Birey seçimi: grupları ve tanısal süreçler:</w:t>
      </w:r>
      <w:r>
        <w:rPr>
          <w:noProof/>
        </w:rPr>
        <w:tab/>
      </w:r>
      <w:r>
        <w:rPr>
          <w:noProof/>
        </w:rPr>
        <w:fldChar w:fldCharType="begin"/>
      </w:r>
      <w:r>
        <w:rPr>
          <w:noProof/>
        </w:rPr>
        <w:instrText xml:space="preserve"> PAGEREF _Toc492677339 \h </w:instrText>
      </w:r>
      <w:r>
        <w:rPr>
          <w:noProof/>
        </w:rPr>
      </w:r>
      <w:r>
        <w:rPr>
          <w:noProof/>
        </w:rPr>
        <w:fldChar w:fldCharType="separate"/>
      </w:r>
      <w:r>
        <w:rPr>
          <w:noProof/>
        </w:rPr>
        <w:t>36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2.1.1. Temel dışlama kriterleri</w:t>
      </w:r>
      <w:r>
        <w:rPr>
          <w:noProof/>
        </w:rPr>
        <w:tab/>
      </w:r>
      <w:r>
        <w:rPr>
          <w:noProof/>
        </w:rPr>
        <w:fldChar w:fldCharType="begin"/>
      </w:r>
      <w:r>
        <w:rPr>
          <w:noProof/>
        </w:rPr>
        <w:instrText xml:space="preserve"> PAGEREF _Toc492677340 \h </w:instrText>
      </w:r>
      <w:r>
        <w:rPr>
          <w:noProof/>
        </w:rPr>
      </w:r>
      <w:r>
        <w:rPr>
          <w:noProof/>
        </w:rPr>
        <w:fldChar w:fldCharType="separate"/>
      </w:r>
      <w:r>
        <w:rPr>
          <w:noProof/>
        </w:rPr>
        <w:t>36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2.1.2. Tanımlayıcı parametreler</w:t>
      </w:r>
      <w:r>
        <w:rPr>
          <w:noProof/>
        </w:rPr>
        <w:tab/>
      </w:r>
      <w:r>
        <w:rPr>
          <w:noProof/>
        </w:rPr>
        <w:fldChar w:fldCharType="begin"/>
      </w:r>
      <w:r>
        <w:rPr>
          <w:noProof/>
        </w:rPr>
        <w:instrText xml:space="preserve"> PAGEREF _Toc492677341 \h </w:instrText>
      </w:r>
      <w:r>
        <w:rPr>
          <w:noProof/>
        </w:rPr>
      </w:r>
      <w:r>
        <w:rPr>
          <w:noProof/>
        </w:rPr>
        <w:fldChar w:fldCharType="separate"/>
      </w:r>
      <w:r>
        <w:rPr>
          <w:noProof/>
        </w:rPr>
        <w:t>37</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2.1.3. Migren değerlendirmesi</w:t>
      </w:r>
      <w:r>
        <w:rPr>
          <w:noProof/>
        </w:rPr>
        <w:tab/>
      </w:r>
      <w:r>
        <w:rPr>
          <w:noProof/>
        </w:rPr>
        <w:fldChar w:fldCharType="begin"/>
      </w:r>
      <w:r>
        <w:rPr>
          <w:noProof/>
        </w:rPr>
        <w:instrText xml:space="preserve"> PAGEREF _Toc492677342 \h </w:instrText>
      </w:r>
      <w:r>
        <w:rPr>
          <w:noProof/>
        </w:rPr>
      </w:r>
      <w:r>
        <w:rPr>
          <w:noProof/>
        </w:rPr>
        <w:fldChar w:fldCharType="separate"/>
      </w:r>
      <w:r>
        <w:rPr>
          <w:noProof/>
        </w:rPr>
        <w:t>37</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2.1.4. Patent foramen ovale tanısı ve derecelendirmesi</w:t>
      </w:r>
      <w:r>
        <w:rPr>
          <w:noProof/>
        </w:rPr>
        <w:tab/>
      </w:r>
      <w:r>
        <w:rPr>
          <w:noProof/>
        </w:rPr>
        <w:fldChar w:fldCharType="begin"/>
      </w:r>
      <w:r>
        <w:rPr>
          <w:noProof/>
        </w:rPr>
        <w:instrText xml:space="preserve"> PAGEREF _Toc492677343 \h </w:instrText>
      </w:r>
      <w:r>
        <w:rPr>
          <w:noProof/>
        </w:rPr>
      </w:r>
      <w:r>
        <w:rPr>
          <w:noProof/>
        </w:rPr>
        <w:fldChar w:fldCharType="separate"/>
      </w:r>
      <w:r>
        <w:rPr>
          <w:noProof/>
        </w:rPr>
        <w:t>37</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2.1.5. Vazomotor reaktivite testleri</w:t>
      </w:r>
      <w:r>
        <w:rPr>
          <w:noProof/>
        </w:rPr>
        <w:tab/>
      </w:r>
      <w:r>
        <w:rPr>
          <w:noProof/>
        </w:rPr>
        <w:fldChar w:fldCharType="begin"/>
      </w:r>
      <w:r>
        <w:rPr>
          <w:noProof/>
        </w:rPr>
        <w:instrText xml:space="preserve"> PAGEREF _Toc492677344 \h </w:instrText>
      </w:r>
      <w:r>
        <w:rPr>
          <w:noProof/>
        </w:rPr>
      </w:r>
      <w:r>
        <w:rPr>
          <w:noProof/>
        </w:rPr>
        <w:fldChar w:fldCharType="separate"/>
      </w:r>
      <w:r>
        <w:rPr>
          <w:noProof/>
        </w:rPr>
        <w:t>40</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2.1.6. VMR ölçüm prosedürü</w:t>
      </w:r>
      <w:r>
        <w:rPr>
          <w:noProof/>
        </w:rPr>
        <w:tab/>
      </w:r>
      <w:r>
        <w:rPr>
          <w:noProof/>
        </w:rPr>
        <w:fldChar w:fldCharType="begin"/>
      </w:r>
      <w:r>
        <w:rPr>
          <w:noProof/>
        </w:rPr>
        <w:instrText xml:space="preserve"> PAGEREF _Toc492677345 \h </w:instrText>
      </w:r>
      <w:r>
        <w:rPr>
          <w:noProof/>
        </w:rPr>
      </w:r>
      <w:r>
        <w:rPr>
          <w:noProof/>
        </w:rPr>
        <w:fldChar w:fldCharType="separate"/>
      </w:r>
      <w:r>
        <w:rPr>
          <w:noProof/>
        </w:rPr>
        <w:t>42</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2.2. İstatistik</w:t>
      </w:r>
      <w:r>
        <w:rPr>
          <w:noProof/>
        </w:rPr>
        <w:tab/>
      </w:r>
      <w:r>
        <w:rPr>
          <w:noProof/>
        </w:rPr>
        <w:fldChar w:fldCharType="begin"/>
      </w:r>
      <w:r>
        <w:rPr>
          <w:noProof/>
        </w:rPr>
        <w:instrText xml:space="preserve"> PAGEREF _Toc492677346 \h </w:instrText>
      </w:r>
      <w:r>
        <w:rPr>
          <w:noProof/>
        </w:rPr>
      </w:r>
      <w:r>
        <w:rPr>
          <w:noProof/>
        </w:rPr>
        <w:fldChar w:fldCharType="separate"/>
      </w:r>
      <w:r>
        <w:rPr>
          <w:noProof/>
        </w:rPr>
        <w:t>43</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3. SONUÇLAR</w:t>
      </w:r>
      <w:r>
        <w:rPr>
          <w:noProof/>
        </w:rPr>
        <w:tab/>
      </w:r>
      <w:r>
        <w:rPr>
          <w:noProof/>
        </w:rPr>
        <w:fldChar w:fldCharType="begin"/>
      </w:r>
      <w:r>
        <w:rPr>
          <w:noProof/>
        </w:rPr>
        <w:instrText xml:space="preserve"> PAGEREF _Toc492677347 \h </w:instrText>
      </w:r>
      <w:r>
        <w:rPr>
          <w:noProof/>
        </w:rPr>
      </w:r>
      <w:r>
        <w:rPr>
          <w:noProof/>
        </w:rPr>
        <w:fldChar w:fldCharType="separate"/>
      </w:r>
      <w:r>
        <w:rPr>
          <w:noProof/>
        </w:rPr>
        <w:t>44</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3.1. Tanımlayıcı özellikler</w:t>
      </w:r>
      <w:r>
        <w:rPr>
          <w:noProof/>
        </w:rPr>
        <w:tab/>
      </w:r>
      <w:r>
        <w:rPr>
          <w:noProof/>
        </w:rPr>
        <w:fldChar w:fldCharType="begin"/>
      </w:r>
      <w:r>
        <w:rPr>
          <w:noProof/>
        </w:rPr>
        <w:instrText xml:space="preserve"> PAGEREF _Toc492677348 \h </w:instrText>
      </w:r>
      <w:r>
        <w:rPr>
          <w:noProof/>
        </w:rPr>
      </w:r>
      <w:r>
        <w:rPr>
          <w:noProof/>
        </w:rPr>
        <w:fldChar w:fldCharType="separate"/>
      </w:r>
      <w:r>
        <w:rPr>
          <w:noProof/>
        </w:rPr>
        <w:t>44</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lastRenderedPageBreak/>
        <w:t>3.2. Vazomotor reaktivite</w:t>
      </w:r>
      <w:r>
        <w:rPr>
          <w:noProof/>
        </w:rPr>
        <w:tab/>
      </w:r>
      <w:r>
        <w:rPr>
          <w:noProof/>
        </w:rPr>
        <w:fldChar w:fldCharType="begin"/>
      </w:r>
      <w:r>
        <w:rPr>
          <w:noProof/>
        </w:rPr>
        <w:instrText xml:space="preserve"> PAGEREF _Toc492677349 \h </w:instrText>
      </w:r>
      <w:r>
        <w:rPr>
          <w:noProof/>
        </w:rPr>
      </w:r>
      <w:r>
        <w:rPr>
          <w:noProof/>
        </w:rPr>
        <w:fldChar w:fldCharType="separate"/>
      </w:r>
      <w:r>
        <w:rPr>
          <w:noProof/>
        </w:rPr>
        <w:t>46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3.2.1.BHI</w:t>
      </w:r>
      <w:r>
        <w:rPr>
          <w:noProof/>
        </w:rPr>
        <w:tab/>
      </w:r>
      <w:r>
        <w:rPr>
          <w:noProof/>
        </w:rPr>
        <w:fldChar w:fldCharType="begin"/>
      </w:r>
      <w:r>
        <w:rPr>
          <w:noProof/>
        </w:rPr>
        <w:instrText xml:space="preserve"> PAGEREF _Toc492677350 \h </w:instrText>
      </w:r>
      <w:r>
        <w:rPr>
          <w:noProof/>
        </w:rPr>
      </w:r>
      <w:r>
        <w:rPr>
          <w:noProof/>
        </w:rPr>
        <w:fldChar w:fldCharType="separate"/>
      </w:r>
      <w:r>
        <w:rPr>
          <w:noProof/>
        </w:rPr>
        <w:t>46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3.2.2. Hiperventilasyon</w:t>
      </w:r>
      <w:r>
        <w:rPr>
          <w:noProof/>
        </w:rPr>
        <w:tab/>
      </w:r>
      <w:r>
        <w:rPr>
          <w:noProof/>
        </w:rPr>
        <w:fldChar w:fldCharType="begin"/>
      </w:r>
      <w:r>
        <w:rPr>
          <w:noProof/>
        </w:rPr>
        <w:instrText xml:space="preserve"> PAGEREF _Toc492677351 \h </w:instrText>
      </w:r>
      <w:r>
        <w:rPr>
          <w:noProof/>
        </w:rPr>
      </w:r>
      <w:r>
        <w:rPr>
          <w:noProof/>
        </w:rPr>
        <w:fldChar w:fldCharType="separate"/>
      </w:r>
      <w:r>
        <w:rPr>
          <w:noProof/>
        </w:rPr>
        <w:t>50</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3.2.3. Diğer parametrelerin VMR-PFO ile ilişkisi</w:t>
      </w:r>
      <w:r>
        <w:rPr>
          <w:noProof/>
        </w:rPr>
        <w:tab/>
      </w:r>
      <w:r>
        <w:rPr>
          <w:noProof/>
        </w:rPr>
        <w:fldChar w:fldCharType="begin"/>
      </w:r>
      <w:r>
        <w:rPr>
          <w:noProof/>
        </w:rPr>
        <w:instrText xml:space="preserve"> PAGEREF _Toc492677352 \h </w:instrText>
      </w:r>
      <w:r>
        <w:rPr>
          <w:noProof/>
        </w:rPr>
      </w:r>
      <w:r>
        <w:rPr>
          <w:noProof/>
        </w:rPr>
        <w:fldChar w:fldCharType="separate"/>
      </w:r>
      <w:r>
        <w:rPr>
          <w:noProof/>
        </w:rPr>
        <w:t>51</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3.3. Aerojenik mikroembolilerinin vazomotor reaktiviteye etkisi</w:t>
      </w:r>
      <w:r>
        <w:rPr>
          <w:noProof/>
        </w:rPr>
        <w:tab/>
      </w:r>
      <w:r>
        <w:rPr>
          <w:noProof/>
        </w:rPr>
        <w:fldChar w:fldCharType="begin"/>
      </w:r>
      <w:r>
        <w:rPr>
          <w:noProof/>
        </w:rPr>
        <w:instrText xml:space="preserve"> PAGEREF _Toc492677353 \h </w:instrText>
      </w:r>
      <w:r>
        <w:rPr>
          <w:noProof/>
        </w:rPr>
      </w:r>
      <w:r>
        <w:rPr>
          <w:noProof/>
        </w:rPr>
        <w:fldChar w:fldCharType="separate"/>
      </w:r>
      <w:r>
        <w:rPr>
          <w:noProof/>
        </w:rPr>
        <w:t>56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3.3.1.BHI</w:t>
      </w:r>
      <w:r>
        <w:rPr>
          <w:noProof/>
        </w:rPr>
        <w:tab/>
      </w:r>
      <w:r>
        <w:rPr>
          <w:noProof/>
        </w:rPr>
        <w:fldChar w:fldCharType="begin"/>
      </w:r>
      <w:r>
        <w:rPr>
          <w:noProof/>
        </w:rPr>
        <w:instrText xml:space="preserve"> PAGEREF _Toc492677354 \h </w:instrText>
      </w:r>
      <w:r>
        <w:rPr>
          <w:noProof/>
        </w:rPr>
      </w:r>
      <w:r>
        <w:rPr>
          <w:noProof/>
        </w:rPr>
        <w:fldChar w:fldCharType="separate"/>
      </w:r>
      <w:r>
        <w:rPr>
          <w:noProof/>
        </w:rPr>
        <w:t>56</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3.3.2. Faz-II dip</w:t>
      </w:r>
      <w:r>
        <w:rPr>
          <w:noProof/>
        </w:rPr>
        <w:tab/>
      </w:r>
      <w:r>
        <w:rPr>
          <w:noProof/>
        </w:rPr>
        <w:fldChar w:fldCharType="begin"/>
      </w:r>
      <w:r>
        <w:rPr>
          <w:noProof/>
        </w:rPr>
        <w:instrText xml:space="preserve"> PAGEREF _Toc492677355 \h </w:instrText>
      </w:r>
      <w:r>
        <w:rPr>
          <w:noProof/>
        </w:rPr>
      </w:r>
      <w:r>
        <w:rPr>
          <w:noProof/>
        </w:rPr>
        <w:fldChar w:fldCharType="separate"/>
      </w:r>
      <w:r>
        <w:rPr>
          <w:noProof/>
        </w:rPr>
        <w:t>57</w:t>
      </w:r>
      <w:r>
        <w:rPr>
          <w:noProof/>
        </w:rPr>
        <w:fldChar w:fldCharType="end"/>
      </w:r>
    </w:p>
    <w:p w:rsidR="007259BF" w:rsidRDefault="007259BF">
      <w:pPr>
        <w:pStyle w:val="T3"/>
        <w:tabs>
          <w:tab w:val="right" w:pos="8210"/>
        </w:tabs>
        <w:rPr>
          <w:rFonts w:asciiTheme="minorHAnsi" w:eastAsiaTheme="minorEastAsia" w:hAnsiTheme="minorHAnsi"/>
          <w:noProof/>
          <w:sz w:val="22"/>
          <w:lang w:eastAsia="tr-TR"/>
        </w:rPr>
      </w:pPr>
      <w:r>
        <w:rPr>
          <w:noProof/>
        </w:rPr>
        <w:t>3.3.3. Hiperventilasyonda akım hızı azalması</w:t>
      </w:r>
      <w:r>
        <w:rPr>
          <w:noProof/>
        </w:rPr>
        <w:tab/>
      </w:r>
      <w:r>
        <w:rPr>
          <w:noProof/>
        </w:rPr>
        <w:fldChar w:fldCharType="begin"/>
      </w:r>
      <w:r>
        <w:rPr>
          <w:noProof/>
        </w:rPr>
        <w:instrText xml:space="preserve"> PAGEREF _Toc492677356 \h </w:instrText>
      </w:r>
      <w:r>
        <w:rPr>
          <w:noProof/>
        </w:rPr>
      </w:r>
      <w:r>
        <w:rPr>
          <w:noProof/>
        </w:rPr>
        <w:fldChar w:fldCharType="separate"/>
      </w:r>
      <w:r>
        <w:rPr>
          <w:noProof/>
        </w:rPr>
        <w:t>58</w:t>
      </w:r>
      <w:r>
        <w:rPr>
          <w:noProof/>
        </w:rPr>
        <w:fldChar w:fldCharType="end"/>
      </w:r>
    </w:p>
    <w:p w:rsidR="007259BF" w:rsidRDefault="007259BF">
      <w:pPr>
        <w:pStyle w:val="T2"/>
        <w:tabs>
          <w:tab w:val="right" w:pos="8210"/>
        </w:tabs>
        <w:rPr>
          <w:rFonts w:asciiTheme="minorHAnsi" w:eastAsiaTheme="minorEastAsia" w:hAnsiTheme="minorHAnsi"/>
          <w:noProof/>
          <w:sz w:val="22"/>
          <w:lang w:eastAsia="tr-TR"/>
        </w:rPr>
      </w:pPr>
      <w:r>
        <w:rPr>
          <w:noProof/>
        </w:rPr>
        <w:t>3.4. Aerojenik mikroembolizm ve migrenöz baş ağrısı</w:t>
      </w:r>
      <w:r>
        <w:rPr>
          <w:noProof/>
        </w:rPr>
        <w:tab/>
      </w:r>
      <w:r>
        <w:rPr>
          <w:noProof/>
        </w:rPr>
        <w:fldChar w:fldCharType="begin"/>
      </w:r>
      <w:r>
        <w:rPr>
          <w:noProof/>
        </w:rPr>
        <w:instrText xml:space="preserve"> PAGEREF _Toc492677357 \h </w:instrText>
      </w:r>
      <w:r>
        <w:rPr>
          <w:noProof/>
        </w:rPr>
      </w:r>
      <w:r>
        <w:rPr>
          <w:noProof/>
        </w:rPr>
        <w:fldChar w:fldCharType="separate"/>
      </w:r>
      <w:r>
        <w:rPr>
          <w:noProof/>
        </w:rPr>
        <w:t>58</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5. TARTIŞMA</w:t>
      </w:r>
      <w:r>
        <w:rPr>
          <w:noProof/>
        </w:rPr>
        <w:tab/>
      </w:r>
      <w:r>
        <w:rPr>
          <w:noProof/>
        </w:rPr>
        <w:fldChar w:fldCharType="begin"/>
      </w:r>
      <w:r>
        <w:rPr>
          <w:noProof/>
        </w:rPr>
        <w:instrText xml:space="preserve"> PAGEREF _Toc492677358 \h </w:instrText>
      </w:r>
      <w:r>
        <w:rPr>
          <w:noProof/>
        </w:rPr>
      </w:r>
      <w:r>
        <w:rPr>
          <w:noProof/>
        </w:rPr>
        <w:fldChar w:fldCharType="separate"/>
      </w:r>
      <w:r>
        <w:rPr>
          <w:noProof/>
        </w:rPr>
        <w:t>72</w:t>
      </w:r>
      <w:r>
        <w:rPr>
          <w:noProof/>
        </w:rPr>
        <w:fldChar w:fldCharType="end"/>
      </w:r>
    </w:p>
    <w:p w:rsidR="007259BF" w:rsidRDefault="007259BF">
      <w:pPr>
        <w:pStyle w:val="T1"/>
        <w:tabs>
          <w:tab w:val="right" w:pos="8210"/>
        </w:tabs>
        <w:rPr>
          <w:rFonts w:asciiTheme="minorHAnsi" w:eastAsiaTheme="minorEastAsia" w:hAnsiTheme="minorHAnsi"/>
          <w:noProof/>
          <w:sz w:val="22"/>
          <w:lang w:eastAsia="tr-TR"/>
        </w:rPr>
      </w:pPr>
      <w:r>
        <w:rPr>
          <w:noProof/>
        </w:rPr>
        <w:t>KAYNAKLAR</w:t>
      </w:r>
      <w:r>
        <w:rPr>
          <w:noProof/>
        </w:rPr>
        <w:tab/>
      </w:r>
      <w:r>
        <w:rPr>
          <w:noProof/>
        </w:rPr>
        <w:fldChar w:fldCharType="begin"/>
      </w:r>
      <w:r>
        <w:rPr>
          <w:noProof/>
        </w:rPr>
        <w:instrText xml:space="preserve"> PAGEREF _Toc492677359 \h </w:instrText>
      </w:r>
      <w:r>
        <w:rPr>
          <w:noProof/>
        </w:rPr>
      </w:r>
      <w:r>
        <w:rPr>
          <w:noProof/>
        </w:rPr>
        <w:fldChar w:fldCharType="separate"/>
      </w:r>
      <w:r>
        <w:rPr>
          <w:noProof/>
        </w:rPr>
        <w:t>76</w:t>
      </w:r>
      <w:r>
        <w:rPr>
          <w:noProof/>
        </w:rPr>
        <w:fldChar w:fldCharType="end"/>
      </w:r>
    </w:p>
    <w:p w:rsidR="00EE3036" w:rsidRDefault="007259BF">
      <w:pPr>
        <w:rPr>
          <w:rFonts w:ascii="Arial" w:hAnsi="Arial" w:cs="Arial"/>
        </w:rPr>
      </w:pPr>
      <w:r>
        <w:rPr>
          <w:rFonts w:ascii="Arial" w:hAnsi="Arial" w:cs="Arial"/>
        </w:rPr>
        <w:fldChar w:fldCharType="end"/>
      </w:r>
    </w:p>
    <w:p w:rsidR="00E659A9" w:rsidRDefault="00E659A9">
      <w:pPr>
        <w:rPr>
          <w:rFonts w:ascii="Arial" w:hAnsi="Arial" w:cs="Arial"/>
          <w:b/>
          <w:sz w:val="24"/>
          <w:szCs w:val="24"/>
        </w:rPr>
      </w:pPr>
      <w:r>
        <w:rPr>
          <w:rFonts w:ascii="Arial" w:hAnsi="Arial" w:cs="Arial"/>
          <w:b/>
          <w:sz w:val="24"/>
          <w:szCs w:val="24"/>
        </w:rPr>
        <w:br w:type="page"/>
      </w:r>
    </w:p>
    <w:p w:rsidR="00E659A9" w:rsidRPr="00461F9A" w:rsidRDefault="00E659A9" w:rsidP="00EE3036">
      <w:pPr>
        <w:pStyle w:val="Balk1"/>
        <w:rPr>
          <w:b w:val="0"/>
        </w:rPr>
      </w:pPr>
      <w:bookmarkStart w:id="4" w:name="_Toc492677323"/>
      <w:r w:rsidRPr="00EE3036">
        <w:lastRenderedPageBreak/>
        <w:t>SİMGELER</w:t>
      </w:r>
      <w:r w:rsidRPr="00461F9A">
        <w:t xml:space="preserve"> VE KISALTMALAR</w:t>
      </w:r>
      <w:bookmarkEnd w:id="4"/>
    </w:p>
    <w:p w:rsidR="00E659A9" w:rsidRDefault="00E659A9" w:rsidP="00EE3036">
      <w:pPr>
        <w:pStyle w:val="METN"/>
        <w:tabs>
          <w:tab w:val="left" w:pos="1134"/>
        </w:tabs>
        <w:ind w:left="1276" w:hanging="1276"/>
      </w:pPr>
      <w:r>
        <w:t>ICHD-3</w:t>
      </w:r>
      <w:r w:rsidR="00EE3036">
        <w:tab/>
      </w:r>
      <w:r>
        <w:t>: The International Classification of Headache Disorders, 3rd edition – Uluslararası Başağrısı Derneğinin Sınıflaması, 3cü edisyon</w:t>
      </w:r>
    </w:p>
    <w:p w:rsidR="00E659A9" w:rsidRDefault="00E659A9" w:rsidP="00EE3036">
      <w:pPr>
        <w:pStyle w:val="METN"/>
        <w:tabs>
          <w:tab w:val="left" w:pos="1134"/>
        </w:tabs>
        <w:ind w:left="1276" w:hanging="1276"/>
      </w:pPr>
      <w:r>
        <w:t>GİA</w:t>
      </w:r>
      <w:r w:rsidR="00EE3036">
        <w:tab/>
      </w:r>
      <w:r>
        <w:t>: Geçici İskemik Atak</w:t>
      </w:r>
    </w:p>
    <w:p w:rsidR="00E659A9" w:rsidRDefault="00E659A9" w:rsidP="00EE3036">
      <w:pPr>
        <w:pStyle w:val="METN"/>
        <w:tabs>
          <w:tab w:val="left" w:pos="1134"/>
        </w:tabs>
        <w:ind w:left="1276" w:hanging="1276"/>
      </w:pPr>
      <w:r>
        <w:t>MRG</w:t>
      </w:r>
      <w:r w:rsidR="00EE3036">
        <w:tab/>
      </w:r>
      <w:r>
        <w:t>: Manyetik Rezonans Görüntüleme</w:t>
      </w:r>
    </w:p>
    <w:p w:rsidR="00E659A9" w:rsidRDefault="00E659A9" w:rsidP="00EE3036">
      <w:pPr>
        <w:pStyle w:val="METN"/>
        <w:tabs>
          <w:tab w:val="left" w:pos="1134"/>
        </w:tabs>
        <w:ind w:left="1276" w:hanging="1276"/>
        <w:rPr>
          <w:bCs/>
          <w:color w:val="222222"/>
          <w:shd w:val="clear" w:color="auto" w:fill="FFFFFF"/>
        </w:rPr>
      </w:pPr>
      <w:r>
        <w:t>BOS</w:t>
      </w:r>
      <w:r w:rsidR="00EE3036">
        <w:tab/>
      </w:r>
      <w:r>
        <w:t xml:space="preserve">: </w:t>
      </w:r>
      <w:r>
        <w:rPr>
          <w:bCs/>
          <w:color w:val="222222"/>
          <w:shd w:val="clear" w:color="auto" w:fill="FFFFFF"/>
        </w:rPr>
        <w:t>Beyin Omurilik S</w:t>
      </w:r>
      <w:r w:rsidRPr="009F3499">
        <w:rPr>
          <w:bCs/>
          <w:color w:val="222222"/>
          <w:shd w:val="clear" w:color="auto" w:fill="FFFFFF"/>
        </w:rPr>
        <w:t>ıvısı</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SSS</w:t>
      </w:r>
      <w:r w:rsidR="00EE3036">
        <w:rPr>
          <w:bCs/>
          <w:color w:val="222222"/>
          <w:shd w:val="clear" w:color="auto" w:fill="FFFFFF"/>
        </w:rPr>
        <w:tab/>
      </w:r>
      <w:r>
        <w:rPr>
          <w:bCs/>
          <w:color w:val="222222"/>
          <w:shd w:val="clear" w:color="auto" w:fill="FFFFFF"/>
        </w:rPr>
        <w:t>: Santral Sinir Sistemi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PET</w:t>
      </w:r>
      <w:r w:rsidR="00EE3036">
        <w:rPr>
          <w:bCs/>
          <w:color w:val="222222"/>
          <w:shd w:val="clear" w:color="auto" w:fill="FFFFFF"/>
        </w:rPr>
        <w:tab/>
      </w:r>
      <w:r>
        <w:rPr>
          <w:bCs/>
          <w:color w:val="222222"/>
          <w:shd w:val="clear" w:color="auto" w:fill="FFFFFF"/>
        </w:rPr>
        <w:t>: Pozitron Emisyon Tomografi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KYD</w:t>
      </w:r>
      <w:r w:rsidR="00EE3036">
        <w:rPr>
          <w:bCs/>
          <w:color w:val="222222"/>
          <w:shd w:val="clear" w:color="auto" w:fill="FFFFFF"/>
        </w:rPr>
        <w:tab/>
      </w:r>
      <w:r>
        <w:rPr>
          <w:bCs/>
          <w:color w:val="222222"/>
          <w:shd w:val="clear" w:color="auto" w:fill="FFFFFF"/>
        </w:rPr>
        <w:t>: Kortikal Yayılan Depresyon</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TG</w:t>
      </w:r>
      <w:r w:rsidR="00EE3036">
        <w:rPr>
          <w:bCs/>
          <w:color w:val="222222"/>
          <w:shd w:val="clear" w:color="auto" w:fill="FFFFFF"/>
        </w:rPr>
        <w:tab/>
      </w:r>
      <w:r>
        <w:rPr>
          <w:bCs/>
          <w:color w:val="222222"/>
          <w:shd w:val="clear" w:color="auto" w:fill="FFFFFF"/>
        </w:rPr>
        <w:t>: Trigeminal Ganglion</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TCC</w:t>
      </w:r>
      <w:r w:rsidR="00EE3036">
        <w:rPr>
          <w:bCs/>
          <w:color w:val="222222"/>
          <w:shd w:val="clear" w:color="auto" w:fill="FFFFFF"/>
        </w:rPr>
        <w:tab/>
      </w:r>
      <w:r>
        <w:rPr>
          <w:bCs/>
          <w:color w:val="222222"/>
          <w:shd w:val="clear" w:color="auto" w:fill="FFFFFF"/>
        </w:rPr>
        <w:t>: Trigeminoservikal Kompleks</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LC</w:t>
      </w:r>
      <w:r w:rsidR="00EE3036">
        <w:rPr>
          <w:bCs/>
          <w:color w:val="222222"/>
          <w:shd w:val="clear" w:color="auto" w:fill="FFFFFF"/>
        </w:rPr>
        <w:tab/>
      </w:r>
      <w:r>
        <w:rPr>
          <w:bCs/>
          <w:color w:val="222222"/>
          <w:shd w:val="clear" w:color="auto" w:fill="FFFFFF"/>
        </w:rPr>
        <w:t>: Locus Coeruleus</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PAG</w:t>
      </w:r>
      <w:r w:rsidR="00EE3036">
        <w:rPr>
          <w:bCs/>
          <w:color w:val="222222"/>
          <w:shd w:val="clear" w:color="auto" w:fill="FFFFFF"/>
        </w:rPr>
        <w:tab/>
      </w:r>
      <w:r>
        <w:rPr>
          <w:bCs/>
          <w:color w:val="222222"/>
          <w:shd w:val="clear" w:color="auto" w:fill="FFFFFF"/>
        </w:rPr>
        <w:t>: Periaqueductal Gri Madde</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CGRP</w:t>
      </w:r>
      <w:r w:rsidR="00EE3036">
        <w:rPr>
          <w:bCs/>
          <w:color w:val="222222"/>
          <w:shd w:val="clear" w:color="auto" w:fill="FFFFFF"/>
        </w:rPr>
        <w:tab/>
      </w:r>
      <w:r>
        <w:rPr>
          <w:bCs/>
          <w:color w:val="222222"/>
          <w:shd w:val="clear" w:color="auto" w:fill="FFFFFF"/>
        </w:rPr>
        <w:t>: Kalsitonin Geni İle İlişkili Peptid</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PACAP</w:t>
      </w:r>
      <w:r w:rsidR="00EE3036">
        <w:rPr>
          <w:bCs/>
          <w:color w:val="222222"/>
          <w:shd w:val="clear" w:color="auto" w:fill="FFFFFF"/>
        </w:rPr>
        <w:tab/>
      </w:r>
      <w:r>
        <w:rPr>
          <w:bCs/>
          <w:color w:val="222222"/>
          <w:shd w:val="clear" w:color="auto" w:fill="FFFFFF"/>
        </w:rPr>
        <w:t>: Pitüiter Adenilat Siklaz Aktive Edici Peptid</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NTG</w:t>
      </w:r>
      <w:r w:rsidR="00EE3036">
        <w:rPr>
          <w:bCs/>
          <w:color w:val="222222"/>
          <w:shd w:val="clear" w:color="auto" w:fill="FFFFFF"/>
        </w:rPr>
        <w:tab/>
      </w:r>
      <w:r>
        <w:rPr>
          <w:bCs/>
          <w:color w:val="222222"/>
          <w:shd w:val="clear" w:color="auto" w:fill="FFFFFF"/>
        </w:rPr>
        <w:t>: Nitrogliserin</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SSRI</w:t>
      </w:r>
      <w:r w:rsidR="00EE3036">
        <w:rPr>
          <w:bCs/>
          <w:color w:val="222222"/>
          <w:shd w:val="clear" w:color="auto" w:fill="FFFFFF"/>
        </w:rPr>
        <w:tab/>
      </w:r>
      <w:r>
        <w:rPr>
          <w:bCs/>
          <w:color w:val="222222"/>
          <w:shd w:val="clear" w:color="auto" w:fill="FFFFFF"/>
        </w:rPr>
        <w:t>: Selektif Serotonin Reseptör İnhibitörü</w:t>
      </w:r>
    </w:p>
    <w:p w:rsidR="00E659A9" w:rsidRDefault="00E659A9" w:rsidP="00EE3036">
      <w:pPr>
        <w:pStyle w:val="METN"/>
        <w:tabs>
          <w:tab w:val="left" w:pos="1134"/>
        </w:tabs>
        <w:ind w:left="1276" w:hanging="1276"/>
        <w:jc w:val="left"/>
        <w:rPr>
          <w:bCs/>
          <w:color w:val="222222"/>
          <w:shd w:val="clear" w:color="auto" w:fill="FFFFFF"/>
        </w:rPr>
      </w:pPr>
      <w:r>
        <w:rPr>
          <w:bCs/>
          <w:color w:val="222222"/>
          <w:shd w:val="clear" w:color="auto" w:fill="FFFFFF"/>
        </w:rPr>
        <w:t>GWAS</w:t>
      </w:r>
      <w:r w:rsidR="00EE3036">
        <w:rPr>
          <w:bCs/>
          <w:color w:val="222222"/>
          <w:shd w:val="clear" w:color="auto" w:fill="FFFFFF"/>
        </w:rPr>
        <w:tab/>
      </w:r>
      <w:r>
        <w:rPr>
          <w:bCs/>
          <w:color w:val="222222"/>
          <w:shd w:val="clear" w:color="auto" w:fill="FFFFFF"/>
        </w:rPr>
        <w:t>: Genome Wide Association Studies – Genom Çapında İlişkilendirme Çalışmaları</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DTI</w:t>
      </w:r>
      <w:r w:rsidR="00EE3036">
        <w:rPr>
          <w:bCs/>
          <w:color w:val="222222"/>
          <w:shd w:val="clear" w:color="auto" w:fill="FFFFFF"/>
        </w:rPr>
        <w:tab/>
      </w:r>
      <w:r>
        <w:rPr>
          <w:bCs/>
          <w:color w:val="222222"/>
          <w:shd w:val="clear" w:color="auto" w:fill="FFFFFF"/>
        </w:rPr>
        <w:t xml:space="preserve">: </w:t>
      </w:r>
      <w:r w:rsidRPr="009F3499">
        <w:rPr>
          <w:color w:val="222222"/>
          <w:shd w:val="clear" w:color="auto" w:fill="FFFFFF"/>
        </w:rPr>
        <w:t>Diffusion Tensor Imaging</w:t>
      </w:r>
      <w:r>
        <w:rPr>
          <w:bCs/>
          <w:color w:val="222222"/>
          <w:shd w:val="clear" w:color="auto" w:fill="FFFFFF"/>
        </w:rPr>
        <w:t xml:space="preserve"> - Difüzyon Traktografi Görüntüleme</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FA</w:t>
      </w:r>
      <w:r w:rsidR="00EE3036">
        <w:rPr>
          <w:bCs/>
          <w:color w:val="222222"/>
          <w:shd w:val="clear" w:color="auto" w:fill="FFFFFF"/>
        </w:rPr>
        <w:tab/>
      </w:r>
      <w:r>
        <w:rPr>
          <w:bCs/>
          <w:color w:val="222222"/>
          <w:shd w:val="clear" w:color="auto" w:fill="FFFFFF"/>
        </w:rPr>
        <w:t>: Fraksiyon Anizotropi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VBM</w:t>
      </w:r>
      <w:r w:rsidR="00EE3036">
        <w:rPr>
          <w:bCs/>
          <w:color w:val="222222"/>
          <w:shd w:val="clear" w:color="auto" w:fill="FFFFFF"/>
        </w:rPr>
        <w:tab/>
      </w:r>
      <w:r>
        <w:rPr>
          <w:bCs/>
          <w:color w:val="222222"/>
          <w:shd w:val="clear" w:color="auto" w:fill="FFFFFF"/>
        </w:rPr>
        <w:t>: Voksel Bazlı Morfometri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PFO</w:t>
      </w:r>
      <w:r w:rsidR="00EE3036">
        <w:rPr>
          <w:bCs/>
          <w:color w:val="222222"/>
          <w:shd w:val="clear" w:color="auto" w:fill="FFFFFF"/>
        </w:rPr>
        <w:tab/>
      </w:r>
      <w:r>
        <w:rPr>
          <w:bCs/>
          <w:color w:val="222222"/>
          <w:shd w:val="clear" w:color="auto" w:fill="FFFFFF"/>
        </w:rPr>
        <w:t>: Patent Foramen Ovale</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TTE</w:t>
      </w:r>
      <w:r w:rsidR="00EE3036">
        <w:rPr>
          <w:bCs/>
          <w:color w:val="222222"/>
          <w:shd w:val="clear" w:color="auto" w:fill="FFFFFF"/>
        </w:rPr>
        <w:tab/>
      </w:r>
      <w:r>
        <w:rPr>
          <w:bCs/>
          <w:color w:val="222222"/>
          <w:shd w:val="clear" w:color="auto" w:fill="FFFFFF"/>
        </w:rPr>
        <w:t>: Transtorasik Ekokardiyografi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TEE</w:t>
      </w:r>
      <w:r w:rsidR="00EE3036">
        <w:rPr>
          <w:bCs/>
          <w:color w:val="222222"/>
          <w:shd w:val="clear" w:color="auto" w:fill="FFFFFF"/>
        </w:rPr>
        <w:tab/>
      </w:r>
      <w:r>
        <w:rPr>
          <w:bCs/>
          <w:color w:val="222222"/>
          <w:shd w:val="clear" w:color="auto" w:fill="FFFFFF"/>
        </w:rPr>
        <w:t>: Transözofageal Ekokardiyografi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TCD</w:t>
      </w:r>
      <w:r w:rsidR="00EE3036">
        <w:rPr>
          <w:bCs/>
          <w:color w:val="222222"/>
          <w:shd w:val="clear" w:color="auto" w:fill="FFFFFF"/>
        </w:rPr>
        <w:tab/>
      </w:r>
      <w:r>
        <w:rPr>
          <w:bCs/>
          <w:color w:val="222222"/>
          <w:shd w:val="clear" w:color="auto" w:fill="FFFFFF"/>
        </w:rPr>
        <w:t>: Transkranial Doppler</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MB</w:t>
      </w:r>
      <w:r w:rsidR="00EE3036">
        <w:rPr>
          <w:bCs/>
          <w:color w:val="222222"/>
          <w:shd w:val="clear" w:color="auto" w:fill="FFFFFF"/>
        </w:rPr>
        <w:tab/>
      </w:r>
      <w:r>
        <w:rPr>
          <w:bCs/>
          <w:color w:val="222222"/>
          <w:shd w:val="clear" w:color="auto" w:fill="FFFFFF"/>
        </w:rPr>
        <w:t>: Mikrokabarcık</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GA</w:t>
      </w:r>
      <w:r w:rsidR="00EE3036">
        <w:rPr>
          <w:bCs/>
          <w:color w:val="222222"/>
          <w:shd w:val="clear" w:color="auto" w:fill="FFFFFF"/>
        </w:rPr>
        <w:tab/>
      </w:r>
      <w:r>
        <w:rPr>
          <w:bCs/>
          <w:color w:val="222222"/>
          <w:shd w:val="clear" w:color="auto" w:fill="FFFFFF"/>
        </w:rPr>
        <w:t>: Güven Aralığı</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DWI</w:t>
      </w:r>
      <w:r w:rsidR="00EE3036">
        <w:rPr>
          <w:bCs/>
          <w:color w:val="222222"/>
          <w:shd w:val="clear" w:color="auto" w:fill="FFFFFF"/>
        </w:rPr>
        <w:tab/>
      </w:r>
      <w:r>
        <w:rPr>
          <w:bCs/>
          <w:color w:val="222222"/>
          <w:shd w:val="clear" w:color="auto" w:fill="FFFFFF"/>
        </w:rPr>
        <w:t xml:space="preserve">: </w:t>
      </w:r>
      <w:r w:rsidRPr="009F3499">
        <w:t>Diffusion-weighted Imaging</w:t>
      </w:r>
      <w:r>
        <w:t xml:space="preserve"> -</w:t>
      </w:r>
      <w:r>
        <w:rPr>
          <w:bCs/>
          <w:color w:val="222222"/>
          <w:shd w:val="clear" w:color="auto" w:fill="FFFFFF"/>
        </w:rPr>
        <w:t xml:space="preserve"> Difüzyon Ağırlıklı Görüntüleme</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BMI</w:t>
      </w:r>
      <w:r w:rsidR="00EE3036">
        <w:rPr>
          <w:bCs/>
          <w:color w:val="222222"/>
          <w:shd w:val="clear" w:color="auto" w:fill="FFFFFF"/>
        </w:rPr>
        <w:tab/>
      </w:r>
      <w:r>
        <w:rPr>
          <w:bCs/>
          <w:color w:val="222222"/>
          <w:shd w:val="clear" w:color="auto" w:fill="FFFFFF"/>
        </w:rPr>
        <w:t>: Body Mass Index – Vücut Kitle İndeksi</w:t>
      </w:r>
    </w:p>
    <w:p w:rsidR="00E659A9" w:rsidRDefault="00E659A9" w:rsidP="00EE3036">
      <w:pPr>
        <w:pStyle w:val="METN"/>
        <w:tabs>
          <w:tab w:val="left" w:pos="1134"/>
        </w:tabs>
        <w:ind w:left="1276" w:hanging="1276"/>
      </w:pPr>
      <w:r>
        <w:rPr>
          <w:bCs/>
          <w:color w:val="222222"/>
          <w:shd w:val="clear" w:color="auto" w:fill="FFFFFF"/>
        </w:rPr>
        <w:lastRenderedPageBreak/>
        <w:t>CADASIL</w:t>
      </w:r>
      <w:r w:rsidR="00EE3036">
        <w:rPr>
          <w:bCs/>
          <w:color w:val="222222"/>
          <w:shd w:val="clear" w:color="auto" w:fill="FFFFFF"/>
        </w:rPr>
        <w:tab/>
      </w:r>
      <w:r>
        <w:rPr>
          <w:bCs/>
          <w:color w:val="222222"/>
          <w:shd w:val="clear" w:color="auto" w:fill="FFFFFF"/>
        </w:rPr>
        <w:t xml:space="preserve">: </w:t>
      </w:r>
      <w:r>
        <w:rPr>
          <w:color w:val="222222"/>
          <w:shd w:val="clear" w:color="auto" w:fill="FFFFFF"/>
        </w:rPr>
        <w:t>Cerebral Autosomal Dominant Arteriopathy With Subcortical Infarcts and L</w:t>
      </w:r>
      <w:r w:rsidRPr="009F3499">
        <w:rPr>
          <w:color w:val="222222"/>
          <w:shd w:val="clear" w:color="auto" w:fill="FFFFFF"/>
        </w:rPr>
        <w:t>eukoencephalopathy</w:t>
      </w:r>
      <w:r>
        <w:rPr>
          <w:color w:val="222222"/>
          <w:shd w:val="clear" w:color="auto" w:fill="FFFFFF"/>
        </w:rPr>
        <w:t xml:space="preserve"> - </w:t>
      </w:r>
      <w:r w:rsidRPr="009F3499">
        <w:t>Subkortikal İnfarktlar Ve Lökoensefalopati İle Birlikte Bulunan Serebral Otozomal Dominant Arteriopati</w:t>
      </w:r>
    </w:p>
    <w:p w:rsidR="00E659A9" w:rsidRDefault="00E659A9" w:rsidP="00EE3036">
      <w:pPr>
        <w:pStyle w:val="METN"/>
        <w:tabs>
          <w:tab w:val="left" w:pos="1134"/>
        </w:tabs>
        <w:ind w:left="1276" w:hanging="1276"/>
      </w:pPr>
      <w:r>
        <w:t>VMR</w:t>
      </w:r>
      <w:r w:rsidR="00EE3036">
        <w:tab/>
      </w:r>
      <w:r>
        <w:t>: Vazomotor Reaktivite</w:t>
      </w:r>
    </w:p>
    <w:p w:rsidR="00E659A9" w:rsidRDefault="00E659A9" w:rsidP="00EE3036">
      <w:pPr>
        <w:pStyle w:val="METN"/>
        <w:tabs>
          <w:tab w:val="left" w:pos="1134"/>
        </w:tabs>
        <w:ind w:left="1276" w:hanging="1276"/>
        <w:jc w:val="left"/>
        <w:rPr>
          <w:bCs/>
          <w:color w:val="222222"/>
          <w:shd w:val="clear" w:color="auto" w:fill="FFFFFF"/>
        </w:rPr>
      </w:pPr>
      <w:r>
        <w:t>SPECT</w:t>
      </w:r>
      <w:r w:rsidR="00EE3036">
        <w:tab/>
      </w:r>
      <w:r>
        <w:t xml:space="preserve">: </w:t>
      </w:r>
      <w:r w:rsidRPr="009F3499">
        <w:rPr>
          <w:bCs/>
          <w:color w:val="222222"/>
          <w:shd w:val="clear" w:color="auto" w:fill="FFFFFF"/>
        </w:rPr>
        <w:t>Single Photon Emission Computed Tomography</w:t>
      </w:r>
      <w:r>
        <w:rPr>
          <w:bCs/>
          <w:color w:val="222222"/>
          <w:shd w:val="clear" w:color="auto" w:fill="FFFFFF"/>
        </w:rPr>
        <w:t xml:space="preserve"> – Tek Foton Emisyonlu Bilgisayarlı Tomografi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CBF</w:t>
      </w:r>
      <w:r w:rsidR="00EE3036">
        <w:rPr>
          <w:bCs/>
          <w:color w:val="222222"/>
          <w:shd w:val="clear" w:color="auto" w:fill="FFFFFF"/>
        </w:rPr>
        <w:tab/>
      </w:r>
      <w:r>
        <w:rPr>
          <w:bCs/>
          <w:color w:val="222222"/>
          <w:shd w:val="clear" w:color="auto" w:fill="FFFFFF"/>
        </w:rPr>
        <w:t>: Cerebral Blood Flow – Serebral Kan Akımı</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CBFV</w:t>
      </w:r>
      <w:r w:rsidR="00EE3036">
        <w:rPr>
          <w:bCs/>
          <w:color w:val="222222"/>
          <w:shd w:val="clear" w:color="auto" w:fill="FFFFFF"/>
        </w:rPr>
        <w:tab/>
      </w:r>
      <w:r>
        <w:rPr>
          <w:bCs/>
          <w:color w:val="222222"/>
          <w:shd w:val="clear" w:color="auto" w:fill="FFFFFF"/>
        </w:rPr>
        <w:t>: Cerebral Blood Flow Velocity – Serebral Kan Akım Hızı</w:t>
      </w:r>
    </w:p>
    <w:p w:rsidR="00E659A9" w:rsidRDefault="00E659A9" w:rsidP="00EE3036">
      <w:pPr>
        <w:pStyle w:val="METN"/>
        <w:tabs>
          <w:tab w:val="left" w:pos="1134"/>
        </w:tabs>
        <w:ind w:left="1276" w:hanging="1276"/>
        <w:jc w:val="left"/>
        <w:rPr>
          <w:bCs/>
          <w:color w:val="222222"/>
          <w:shd w:val="clear" w:color="auto" w:fill="FFFFFF"/>
        </w:rPr>
      </w:pPr>
      <w:r>
        <w:rPr>
          <w:bCs/>
          <w:color w:val="222222"/>
          <w:shd w:val="clear" w:color="auto" w:fill="FFFFFF"/>
        </w:rPr>
        <w:t>ACEI</w:t>
      </w:r>
      <w:r w:rsidR="00EE3036">
        <w:rPr>
          <w:bCs/>
          <w:color w:val="222222"/>
          <w:shd w:val="clear" w:color="auto" w:fill="FFFFFF"/>
        </w:rPr>
        <w:tab/>
      </w:r>
      <w:r>
        <w:rPr>
          <w:bCs/>
          <w:color w:val="222222"/>
          <w:shd w:val="clear" w:color="auto" w:fill="FFFFFF"/>
        </w:rPr>
        <w:t xml:space="preserve">: </w:t>
      </w:r>
      <w:r w:rsidRPr="009F3499">
        <w:rPr>
          <w:color w:val="222222"/>
          <w:shd w:val="clear" w:color="auto" w:fill="FFFFFF"/>
        </w:rPr>
        <w:t>Angiotensin Converting Enzyme Inhibitor</w:t>
      </w:r>
      <w:r>
        <w:rPr>
          <w:color w:val="222222"/>
          <w:shd w:val="clear" w:color="auto" w:fill="FFFFFF"/>
        </w:rPr>
        <w:t xml:space="preserve"> -</w:t>
      </w:r>
      <w:r>
        <w:rPr>
          <w:bCs/>
          <w:color w:val="222222"/>
          <w:shd w:val="clear" w:color="auto" w:fill="FFFFFF"/>
        </w:rPr>
        <w:t xml:space="preserve"> Anjiotenzin Çevirici Enzim İnhibitörü</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ARB</w:t>
      </w:r>
      <w:r w:rsidR="00EE3036">
        <w:rPr>
          <w:bCs/>
          <w:color w:val="222222"/>
          <w:shd w:val="clear" w:color="auto" w:fill="FFFFFF"/>
        </w:rPr>
        <w:tab/>
      </w:r>
      <w:r>
        <w:rPr>
          <w:bCs/>
          <w:color w:val="222222"/>
          <w:shd w:val="clear" w:color="auto" w:fill="FFFFFF"/>
        </w:rPr>
        <w:t>: Anjiotenzin Reseptör Blokörü</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RDUS</w:t>
      </w:r>
      <w:r w:rsidR="00EE3036">
        <w:rPr>
          <w:bCs/>
          <w:color w:val="222222"/>
          <w:shd w:val="clear" w:color="auto" w:fill="FFFFFF"/>
        </w:rPr>
        <w:tab/>
      </w:r>
      <w:r>
        <w:rPr>
          <w:bCs/>
          <w:color w:val="222222"/>
          <w:shd w:val="clear" w:color="auto" w:fill="FFFFFF"/>
        </w:rPr>
        <w:t>: Renkli Doppler Ultrasonografi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MCA</w:t>
      </w:r>
      <w:r w:rsidR="00EE3036">
        <w:rPr>
          <w:bCs/>
          <w:color w:val="222222"/>
          <w:shd w:val="clear" w:color="auto" w:fill="FFFFFF"/>
        </w:rPr>
        <w:tab/>
      </w:r>
      <w:r>
        <w:rPr>
          <w:bCs/>
          <w:color w:val="222222"/>
          <w:shd w:val="clear" w:color="auto" w:fill="FFFFFF"/>
        </w:rPr>
        <w:t>: Middle Cerebral Artery – Orta Serebral Arter</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PCA</w:t>
      </w:r>
      <w:r w:rsidR="00EE3036">
        <w:rPr>
          <w:bCs/>
          <w:color w:val="222222"/>
          <w:shd w:val="clear" w:color="auto" w:fill="FFFFFF"/>
        </w:rPr>
        <w:tab/>
      </w:r>
      <w:r>
        <w:rPr>
          <w:bCs/>
          <w:color w:val="222222"/>
          <w:shd w:val="clear" w:color="auto" w:fill="FFFFFF"/>
        </w:rPr>
        <w:t>: Posterior Cereral Artery – Arka Serebral Arter</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ICA</w:t>
      </w:r>
      <w:r w:rsidR="00EE3036">
        <w:rPr>
          <w:bCs/>
          <w:color w:val="222222"/>
          <w:shd w:val="clear" w:color="auto" w:fill="FFFFFF"/>
        </w:rPr>
        <w:tab/>
      </w:r>
      <w:r>
        <w:rPr>
          <w:bCs/>
          <w:color w:val="222222"/>
          <w:shd w:val="clear" w:color="auto" w:fill="FFFFFF"/>
        </w:rPr>
        <w:t>: Internal Carotid Artery – İnternal Karotid Arter</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SF</w:t>
      </w:r>
      <w:r w:rsidR="00EE3036">
        <w:rPr>
          <w:bCs/>
          <w:color w:val="222222"/>
          <w:shd w:val="clear" w:color="auto" w:fill="FFFFFF"/>
        </w:rPr>
        <w:tab/>
      </w:r>
      <w:r>
        <w:rPr>
          <w:bCs/>
          <w:color w:val="222222"/>
          <w:shd w:val="clear" w:color="auto" w:fill="FFFFFF"/>
        </w:rPr>
        <w:t>: Serum Fizyolojik</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MES</w:t>
      </w:r>
      <w:r w:rsidR="00EE3036">
        <w:rPr>
          <w:bCs/>
          <w:color w:val="222222"/>
          <w:shd w:val="clear" w:color="auto" w:fill="FFFFFF"/>
        </w:rPr>
        <w:tab/>
      </w:r>
      <w:r>
        <w:rPr>
          <w:bCs/>
          <w:color w:val="222222"/>
          <w:shd w:val="clear" w:color="auto" w:fill="FFFFFF"/>
        </w:rPr>
        <w:t>: Mikroembolik Sinyal</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RLS</w:t>
      </w:r>
      <w:r w:rsidR="00EE3036">
        <w:rPr>
          <w:bCs/>
          <w:color w:val="222222"/>
          <w:shd w:val="clear" w:color="auto" w:fill="FFFFFF"/>
        </w:rPr>
        <w:tab/>
      </w:r>
      <w:r>
        <w:rPr>
          <w:bCs/>
          <w:color w:val="222222"/>
          <w:shd w:val="clear" w:color="auto" w:fill="FFFFFF"/>
        </w:rPr>
        <w:t>: Right To Left Shunt – Sağdan Sola Şant</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HPV</w:t>
      </w:r>
      <w:r w:rsidR="00EE3036">
        <w:rPr>
          <w:bCs/>
          <w:color w:val="222222"/>
          <w:shd w:val="clear" w:color="auto" w:fill="FFFFFF"/>
        </w:rPr>
        <w:tab/>
      </w:r>
      <w:r>
        <w:rPr>
          <w:bCs/>
          <w:color w:val="222222"/>
          <w:shd w:val="clear" w:color="auto" w:fill="FFFFFF"/>
        </w:rPr>
        <w:t>: Hiperventilasyon</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BHT</w:t>
      </w:r>
      <w:r w:rsidR="00EE3036">
        <w:rPr>
          <w:bCs/>
          <w:color w:val="222222"/>
          <w:shd w:val="clear" w:color="auto" w:fill="FFFFFF"/>
        </w:rPr>
        <w:tab/>
      </w:r>
      <w:r>
        <w:rPr>
          <w:bCs/>
          <w:color w:val="222222"/>
          <w:shd w:val="clear" w:color="auto" w:fill="FFFFFF"/>
        </w:rPr>
        <w:t>: Breath Holding Technic – Nefes Tutma Tekniği</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PSV</w:t>
      </w:r>
      <w:r w:rsidR="00EE3036">
        <w:rPr>
          <w:bCs/>
          <w:color w:val="222222"/>
          <w:shd w:val="clear" w:color="auto" w:fill="FFFFFF"/>
        </w:rPr>
        <w:tab/>
      </w:r>
      <w:r>
        <w:rPr>
          <w:bCs/>
          <w:color w:val="222222"/>
          <w:shd w:val="clear" w:color="auto" w:fill="FFFFFF"/>
        </w:rPr>
        <w:t>: Peak Systolic Velocity – Pik Sistolik Hızı</w:t>
      </w:r>
    </w:p>
    <w:p w:rsidR="00E659A9" w:rsidRDefault="00E659A9" w:rsidP="00EE3036">
      <w:pPr>
        <w:pStyle w:val="METN"/>
        <w:tabs>
          <w:tab w:val="left" w:pos="1134"/>
        </w:tabs>
        <w:ind w:left="1276" w:hanging="1276"/>
        <w:rPr>
          <w:bCs/>
          <w:color w:val="222222"/>
          <w:shd w:val="clear" w:color="auto" w:fill="FFFFFF"/>
        </w:rPr>
      </w:pPr>
      <w:r>
        <w:rPr>
          <w:bCs/>
          <w:color w:val="222222"/>
          <w:shd w:val="clear" w:color="auto" w:fill="FFFFFF"/>
        </w:rPr>
        <w:t>EDV</w:t>
      </w:r>
      <w:r w:rsidR="00EE3036">
        <w:rPr>
          <w:bCs/>
          <w:color w:val="222222"/>
          <w:shd w:val="clear" w:color="auto" w:fill="FFFFFF"/>
        </w:rPr>
        <w:tab/>
      </w:r>
      <w:r>
        <w:rPr>
          <w:bCs/>
          <w:color w:val="222222"/>
          <w:shd w:val="clear" w:color="auto" w:fill="FFFFFF"/>
        </w:rPr>
        <w:t>: End Diasyolic Velocity – Diastol Sonu Hızı</w:t>
      </w:r>
    </w:p>
    <w:p w:rsidR="00E659A9" w:rsidRPr="0003424A" w:rsidRDefault="00E659A9" w:rsidP="00EE3036">
      <w:pPr>
        <w:pStyle w:val="METN"/>
        <w:tabs>
          <w:tab w:val="left" w:pos="1134"/>
        </w:tabs>
        <w:ind w:left="1276" w:hanging="1276"/>
        <w:rPr>
          <w:bCs/>
          <w:color w:val="222222"/>
          <w:shd w:val="clear" w:color="auto" w:fill="FFFFFF"/>
        </w:rPr>
      </w:pPr>
      <w:r>
        <w:rPr>
          <w:bCs/>
          <w:color w:val="222222"/>
          <w:shd w:val="clear" w:color="auto" w:fill="FFFFFF"/>
        </w:rPr>
        <w:t>PI</w:t>
      </w:r>
      <w:r w:rsidR="00EE3036">
        <w:rPr>
          <w:bCs/>
          <w:color w:val="222222"/>
          <w:shd w:val="clear" w:color="auto" w:fill="FFFFFF"/>
        </w:rPr>
        <w:tab/>
      </w:r>
      <w:r>
        <w:rPr>
          <w:bCs/>
          <w:color w:val="222222"/>
          <w:shd w:val="clear" w:color="auto" w:fill="FFFFFF"/>
        </w:rPr>
        <w:t>: Pulsatilite İndeksi</w:t>
      </w:r>
    </w:p>
    <w:p w:rsidR="00F610CC" w:rsidRDefault="00F610CC">
      <w:pPr>
        <w:rPr>
          <w:rFonts w:ascii="Arial" w:hAnsi="Arial" w:cs="Arial"/>
          <w:b/>
          <w:sz w:val="28"/>
          <w:szCs w:val="28"/>
        </w:rPr>
      </w:pPr>
      <w:r>
        <w:rPr>
          <w:rFonts w:ascii="Arial" w:hAnsi="Arial" w:cs="Arial"/>
          <w:b/>
          <w:sz w:val="28"/>
          <w:szCs w:val="28"/>
        </w:rPr>
        <w:br w:type="page"/>
      </w:r>
    </w:p>
    <w:p w:rsidR="00F610CC" w:rsidRDefault="007259BF" w:rsidP="00F610CC">
      <w:pPr>
        <w:pStyle w:val="Balk1"/>
      </w:pPr>
      <w:bookmarkStart w:id="5" w:name="_Toc492677324"/>
      <w:r>
        <w:lastRenderedPageBreak/>
        <w:t>RESİMLER</w:t>
      </w:r>
      <w:bookmarkEnd w:id="5"/>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fldChar w:fldCharType="begin"/>
      </w:r>
      <w:r>
        <w:instrText xml:space="preserve"> TOC \t "Resimler 5" \c </w:instrText>
      </w:r>
      <w:r>
        <w:fldChar w:fldCharType="separate"/>
      </w:r>
      <w:r w:rsidRPr="007259BF">
        <w:rPr>
          <w:b/>
          <w:noProof/>
        </w:rPr>
        <w:t xml:space="preserve">Resim 1.2. </w:t>
      </w:r>
      <w:r>
        <w:rPr>
          <w:b/>
          <w:noProof/>
        </w:rPr>
        <w:tab/>
      </w:r>
      <w:r w:rsidRPr="000B1129">
        <w:rPr>
          <w:noProof/>
        </w:rPr>
        <w:t>Trigeminovasküler sistem-asendan projeksiyonlar</w:t>
      </w:r>
      <w:r>
        <w:rPr>
          <w:noProof/>
        </w:rPr>
        <w:tab/>
      </w:r>
      <w:r>
        <w:rPr>
          <w:noProof/>
        </w:rPr>
        <w:fldChar w:fldCharType="begin"/>
      </w:r>
      <w:r>
        <w:rPr>
          <w:noProof/>
        </w:rPr>
        <w:instrText xml:space="preserve"> PAGEREF _Toc492677199 \h </w:instrText>
      </w:r>
      <w:r>
        <w:rPr>
          <w:noProof/>
        </w:rPr>
      </w:r>
      <w:r>
        <w:rPr>
          <w:noProof/>
        </w:rPr>
        <w:fldChar w:fldCharType="separate"/>
      </w:r>
      <w:r>
        <w:rPr>
          <w:noProof/>
        </w:rPr>
        <w:t>14</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1.3.</w:t>
      </w:r>
      <w:r>
        <w:rPr>
          <w:noProof/>
        </w:rPr>
        <w:t xml:space="preserve"> </w:t>
      </w:r>
      <w:r>
        <w:rPr>
          <w:noProof/>
        </w:rPr>
        <w:tab/>
      </w:r>
      <w:r w:rsidRPr="000B1129">
        <w:rPr>
          <w:noProof/>
        </w:rPr>
        <w:t>Beyin MRG: Auralı (a) ve aurasız (b) migren hastalarındaki</w:t>
      </w:r>
      <w:r w:rsidR="006618EA">
        <w:rPr>
          <w:noProof/>
        </w:rPr>
        <w:t xml:space="preserve"> </w:t>
      </w:r>
      <w:r w:rsidRPr="000B1129">
        <w:rPr>
          <w:noProof/>
        </w:rPr>
        <w:t xml:space="preserve"> tipik beyaz cevher lezyonları</w:t>
      </w:r>
      <w:r>
        <w:rPr>
          <w:noProof/>
        </w:rPr>
        <w:tab/>
      </w:r>
      <w:r>
        <w:rPr>
          <w:noProof/>
        </w:rPr>
        <w:fldChar w:fldCharType="begin"/>
      </w:r>
      <w:r>
        <w:rPr>
          <w:noProof/>
        </w:rPr>
        <w:instrText xml:space="preserve"> PAGEREF _Toc492677200 \h </w:instrText>
      </w:r>
      <w:r>
        <w:rPr>
          <w:noProof/>
        </w:rPr>
      </w:r>
      <w:r>
        <w:rPr>
          <w:noProof/>
        </w:rPr>
        <w:fldChar w:fldCharType="separate"/>
      </w:r>
      <w:r>
        <w:rPr>
          <w:noProof/>
        </w:rPr>
        <w:t>19</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2.1.</w:t>
      </w:r>
      <w:r>
        <w:rPr>
          <w:noProof/>
        </w:rPr>
        <w:t xml:space="preserve"> </w:t>
      </w:r>
      <w:r>
        <w:rPr>
          <w:noProof/>
        </w:rPr>
        <w:tab/>
      </w:r>
      <w:r w:rsidRPr="000B1129">
        <w:rPr>
          <w:noProof/>
        </w:rPr>
        <w:t>“Bubble testi” düzeni</w:t>
      </w:r>
      <w:r>
        <w:rPr>
          <w:noProof/>
        </w:rPr>
        <w:tab/>
      </w:r>
      <w:r>
        <w:rPr>
          <w:noProof/>
        </w:rPr>
        <w:fldChar w:fldCharType="begin"/>
      </w:r>
      <w:r>
        <w:rPr>
          <w:noProof/>
        </w:rPr>
        <w:instrText xml:space="preserve"> PAGEREF _Toc492677201 \h </w:instrText>
      </w:r>
      <w:r>
        <w:rPr>
          <w:noProof/>
        </w:rPr>
      </w:r>
      <w:r>
        <w:rPr>
          <w:noProof/>
        </w:rPr>
        <w:fldChar w:fldCharType="separate"/>
      </w:r>
      <w:r>
        <w:rPr>
          <w:noProof/>
        </w:rPr>
        <w:t>39</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2.2.</w:t>
      </w:r>
      <w:r>
        <w:rPr>
          <w:noProof/>
        </w:rPr>
        <w:t xml:space="preserve"> </w:t>
      </w:r>
      <w:r>
        <w:rPr>
          <w:noProof/>
        </w:rPr>
        <w:tab/>
      </w:r>
      <w:r w:rsidRPr="000B1129">
        <w:rPr>
          <w:noProof/>
        </w:rPr>
        <w:t>Sağdan sola şantın derecelendirilmesi</w:t>
      </w:r>
      <w:r>
        <w:rPr>
          <w:noProof/>
        </w:rPr>
        <w:tab/>
      </w:r>
      <w:r>
        <w:rPr>
          <w:noProof/>
        </w:rPr>
        <w:fldChar w:fldCharType="begin"/>
      </w:r>
      <w:r>
        <w:rPr>
          <w:noProof/>
        </w:rPr>
        <w:instrText xml:space="preserve"> PAGEREF _Toc492677202 \h </w:instrText>
      </w:r>
      <w:r>
        <w:rPr>
          <w:noProof/>
        </w:rPr>
      </w:r>
      <w:r>
        <w:rPr>
          <w:noProof/>
        </w:rPr>
        <w:fldChar w:fldCharType="separate"/>
      </w:r>
      <w:r>
        <w:rPr>
          <w:noProof/>
        </w:rPr>
        <w:t>39</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2.3.</w:t>
      </w:r>
      <w:r w:rsidRPr="000B1129">
        <w:rPr>
          <w:noProof/>
        </w:rPr>
        <w:t xml:space="preserve"> </w:t>
      </w:r>
      <w:r>
        <w:rPr>
          <w:noProof/>
        </w:rPr>
        <w:tab/>
      </w:r>
      <w:r w:rsidRPr="000B1129">
        <w:rPr>
          <w:noProof/>
        </w:rPr>
        <w:t>PCA insonasyonu ile elde olunmuş tipik bir kayıt örneği</w:t>
      </w:r>
      <w:r>
        <w:rPr>
          <w:noProof/>
        </w:rPr>
        <w:tab/>
      </w:r>
      <w:r>
        <w:rPr>
          <w:noProof/>
        </w:rPr>
        <w:fldChar w:fldCharType="begin"/>
      </w:r>
      <w:r>
        <w:rPr>
          <w:noProof/>
        </w:rPr>
        <w:instrText xml:space="preserve"> PAGEREF _Toc492677203 \h </w:instrText>
      </w:r>
      <w:r>
        <w:rPr>
          <w:noProof/>
        </w:rPr>
      </w:r>
      <w:r>
        <w:rPr>
          <w:noProof/>
        </w:rPr>
        <w:fldChar w:fldCharType="separate"/>
      </w:r>
      <w:r>
        <w:rPr>
          <w:noProof/>
        </w:rPr>
        <w:t>41</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2.4.</w:t>
      </w:r>
      <w:r>
        <w:rPr>
          <w:noProof/>
        </w:rPr>
        <w:t xml:space="preserve"> </w:t>
      </w:r>
      <w:r>
        <w:rPr>
          <w:noProof/>
        </w:rPr>
        <w:tab/>
      </w:r>
      <w:r w:rsidRPr="000B1129">
        <w:rPr>
          <w:noProof/>
        </w:rPr>
        <w:t>BHT ölçülen parametreler</w:t>
      </w:r>
      <w:r>
        <w:rPr>
          <w:noProof/>
        </w:rPr>
        <w:tab/>
      </w:r>
      <w:r>
        <w:rPr>
          <w:noProof/>
        </w:rPr>
        <w:fldChar w:fldCharType="begin"/>
      </w:r>
      <w:r>
        <w:rPr>
          <w:noProof/>
        </w:rPr>
        <w:instrText xml:space="preserve"> PAGEREF _Toc492677204 \h </w:instrText>
      </w:r>
      <w:r>
        <w:rPr>
          <w:noProof/>
        </w:rPr>
      </w:r>
      <w:r>
        <w:rPr>
          <w:noProof/>
        </w:rPr>
        <w:fldChar w:fldCharType="separate"/>
      </w:r>
      <w:r>
        <w:rPr>
          <w:noProof/>
        </w:rPr>
        <w:t>41</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2.5.</w:t>
      </w:r>
      <w:r>
        <w:rPr>
          <w:noProof/>
        </w:rPr>
        <w:t xml:space="preserve"> </w:t>
      </w:r>
      <w:r>
        <w:rPr>
          <w:noProof/>
        </w:rPr>
        <w:tab/>
      </w:r>
      <w:r w:rsidRPr="000B1129">
        <w:rPr>
          <w:noProof/>
        </w:rPr>
        <w:t>Hiperventilasyon reaksiyonu ve ölçülen parametreler</w:t>
      </w:r>
      <w:r>
        <w:rPr>
          <w:noProof/>
        </w:rPr>
        <w:tab/>
      </w:r>
      <w:r>
        <w:rPr>
          <w:noProof/>
        </w:rPr>
        <w:fldChar w:fldCharType="begin"/>
      </w:r>
      <w:r>
        <w:rPr>
          <w:noProof/>
        </w:rPr>
        <w:instrText xml:space="preserve"> PAGEREF _Toc492677205 \h </w:instrText>
      </w:r>
      <w:r>
        <w:rPr>
          <w:noProof/>
        </w:rPr>
      </w:r>
      <w:r>
        <w:rPr>
          <w:noProof/>
        </w:rPr>
        <w:fldChar w:fldCharType="separate"/>
      </w:r>
      <w:r>
        <w:rPr>
          <w:noProof/>
        </w:rPr>
        <w:t>42</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3.8a.</w:t>
      </w:r>
      <w:r>
        <w:rPr>
          <w:noProof/>
        </w:rPr>
        <w:t xml:space="preserve"> </w:t>
      </w:r>
      <w:r>
        <w:rPr>
          <w:noProof/>
        </w:rPr>
        <w:tab/>
      </w:r>
      <w:r w:rsidRPr="000B1129">
        <w:rPr>
          <w:noProof/>
        </w:rPr>
        <w:t>Ajite salin öncesi ve sonrası BHI değişimi I</w:t>
      </w:r>
      <w:r>
        <w:rPr>
          <w:noProof/>
        </w:rPr>
        <w:tab/>
      </w:r>
      <w:r>
        <w:rPr>
          <w:noProof/>
        </w:rPr>
        <w:fldChar w:fldCharType="begin"/>
      </w:r>
      <w:r>
        <w:rPr>
          <w:noProof/>
        </w:rPr>
        <w:instrText xml:space="preserve"> PAGEREF _Toc492677206 \h </w:instrText>
      </w:r>
      <w:r>
        <w:rPr>
          <w:noProof/>
        </w:rPr>
      </w:r>
      <w:r>
        <w:rPr>
          <w:noProof/>
        </w:rPr>
        <w:fldChar w:fldCharType="separate"/>
      </w:r>
      <w:r>
        <w:rPr>
          <w:noProof/>
        </w:rPr>
        <w:t>63</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3.8b.</w:t>
      </w:r>
      <w:r>
        <w:rPr>
          <w:noProof/>
        </w:rPr>
        <w:t xml:space="preserve"> </w:t>
      </w:r>
      <w:r>
        <w:rPr>
          <w:noProof/>
        </w:rPr>
        <w:tab/>
      </w:r>
      <w:r w:rsidRPr="000B1129">
        <w:rPr>
          <w:noProof/>
        </w:rPr>
        <w:t>Ajite salin öncesi ve sonrası BHI değişimi II</w:t>
      </w:r>
      <w:r>
        <w:rPr>
          <w:noProof/>
        </w:rPr>
        <w:tab/>
      </w:r>
      <w:r>
        <w:rPr>
          <w:noProof/>
        </w:rPr>
        <w:fldChar w:fldCharType="begin"/>
      </w:r>
      <w:r>
        <w:rPr>
          <w:noProof/>
        </w:rPr>
        <w:instrText xml:space="preserve"> PAGEREF _Toc492677207 \h </w:instrText>
      </w:r>
      <w:r>
        <w:rPr>
          <w:noProof/>
        </w:rPr>
      </w:r>
      <w:r>
        <w:rPr>
          <w:noProof/>
        </w:rPr>
        <w:fldChar w:fldCharType="separate"/>
      </w:r>
      <w:r>
        <w:rPr>
          <w:noProof/>
        </w:rPr>
        <w:t>64</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3.9.</w:t>
      </w:r>
      <w:r>
        <w:rPr>
          <w:noProof/>
        </w:rPr>
        <w:t xml:space="preserve"> </w:t>
      </w:r>
      <w:r>
        <w:rPr>
          <w:noProof/>
        </w:rPr>
        <w:tab/>
      </w:r>
      <w:r w:rsidRPr="000B1129">
        <w:rPr>
          <w:noProof/>
        </w:rPr>
        <w:t>Tüm gruplarda BHT dip, Apne pik ve HPV plato zaman ve amplitüd farkları (%)</w:t>
      </w:r>
      <w:r>
        <w:rPr>
          <w:noProof/>
        </w:rPr>
        <w:tab/>
      </w:r>
      <w:r>
        <w:rPr>
          <w:noProof/>
        </w:rPr>
        <w:fldChar w:fldCharType="begin"/>
      </w:r>
      <w:r>
        <w:rPr>
          <w:noProof/>
        </w:rPr>
        <w:instrText xml:space="preserve"> PAGEREF _Toc492677208 \h </w:instrText>
      </w:r>
      <w:r>
        <w:rPr>
          <w:noProof/>
        </w:rPr>
      </w:r>
      <w:r>
        <w:rPr>
          <w:noProof/>
        </w:rPr>
        <w:fldChar w:fldCharType="separate"/>
      </w:r>
      <w:r>
        <w:rPr>
          <w:noProof/>
        </w:rPr>
        <w:t>69</w:t>
      </w:r>
      <w:r>
        <w:rPr>
          <w:noProof/>
        </w:rPr>
        <w:fldChar w:fldCharType="end"/>
      </w:r>
    </w:p>
    <w:p w:rsidR="007259BF" w:rsidRDefault="007259BF" w:rsidP="007259BF">
      <w:pPr>
        <w:pStyle w:val="ekillerTablosu"/>
        <w:tabs>
          <w:tab w:val="right" w:pos="8210"/>
        </w:tabs>
        <w:ind w:left="1418" w:hanging="1418"/>
        <w:rPr>
          <w:rFonts w:asciiTheme="minorHAnsi" w:eastAsiaTheme="minorEastAsia" w:hAnsiTheme="minorHAnsi"/>
          <w:noProof/>
          <w:sz w:val="22"/>
          <w:lang w:eastAsia="tr-TR"/>
        </w:rPr>
      </w:pPr>
      <w:r w:rsidRPr="007259BF">
        <w:rPr>
          <w:b/>
          <w:noProof/>
        </w:rPr>
        <w:t>Resim 3.10.</w:t>
      </w:r>
      <w:r>
        <w:rPr>
          <w:noProof/>
        </w:rPr>
        <w:t xml:space="preserve"> </w:t>
      </w:r>
      <w:r>
        <w:rPr>
          <w:noProof/>
        </w:rPr>
        <w:tab/>
      </w:r>
      <w:r w:rsidRPr="000B1129">
        <w:rPr>
          <w:noProof/>
        </w:rPr>
        <w:t xml:space="preserve">Migren ve/veya PFO ve BHT dip, Apne pik ve HPV plato </w:t>
      </w:r>
      <w:r w:rsidR="006618EA">
        <w:rPr>
          <w:noProof/>
        </w:rPr>
        <w:t xml:space="preserve"> </w:t>
      </w:r>
      <w:r w:rsidRPr="000B1129">
        <w:rPr>
          <w:noProof/>
        </w:rPr>
        <w:t>zaman ve amplitüd farkları (%)</w:t>
      </w:r>
      <w:r>
        <w:rPr>
          <w:noProof/>
        </w:rPr>
        <w:tab/>
      </w:r>
      <w:r>
        <w:rPr>
          <w:noProof/>
        </w:rPr>
        <w:fldChar w:fldCharType="begin"/>
      </w:r>
      <w:r>
        <w:rPr>
          <w:noProof/>
        </w:rPr>
        <w:instrText xml:space="preserve"> PAGEREF _Toc492677209 \h </w:instrText>
      </w:r>
      <w:r>
        <w:rPr>
          <w:noProof/>
        </w:rPr>
      </w:r>
      <w:r>
        <w:rPr>
          <w:noProof/>
        </w:rPr>
        <w:fldChar w:fldCharType="separate"/>
      </w:r>
      <w:r>
        <w:rPr>
          <w:noProof/>
        </w:rPr>
        <w:t>71</w:t>
      </w:r>
      <w:r>
        <w:rPr>
          <w:noProof/>
        </w:rPr>
        <w:fldChar w:fldCharType="end"/>
      </w:r>
    </w:p>
    <w:p w:rsidR="00AA51A2" w:rsidRDefault="007259BF" w:rsidP="007259BF">
      <w:pPr>
        <w:pStyle w:val="METN"/>
        <w:ind w:left="1418" w:hanging="1418"/>
      </w:pPr>
      <w:r>
        <w:fldChar w:fldCharType="end"/>
      </w:r>
      <w:r w:rsidR="00AA51A2">
        <w:br w:type="page"/>
      </w:r>
    </w:p>
    <w:p w:rsidR="00F610CC" w:rsidRDefault="00F610CC" w:rsidP="00F610CC">
      <w:pPr>
        <w:pStyle w:val="Balk1"/>
      </w:pPr>
      <w:bookmarkStart w:id="6" w:name="_Toc492677325"/>
      <w:r>
        <w:lastRenderedPageBreak/>
        <w:t>TABLOLAR</w:t>
      </w:r>
      <w:bookmarkEnd w:id="6"/>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fldChar w:fldCharType="begin"/>
      </w:r>
      <w:r>
        <w:instrText xml:space="preserve"> TOC \t "Tablolar 6" \c </w:instrText>
      </w:r>
      <w:r>
        <w:fldChar w:fldCharType="separate"/>
      </w:r>
      <w:r w:rsidRPr="009C39FF">
        <w:rPr>
          <w:b/>
          <w:noProof/>
        </w:rPr>
        <w:t>Tablo 3.1.</w:t>
      </w:r>
      <w:r>
        <w:rPr>
          <w:noProof/>
        </w:rPr>
        <w:t xml:space="preserve"> </w:t>
      </w:r>
      <w:r>
        <w:rPr>
          <w:noProof/>
        </w:rPr>
        <w:tab/>
      </w:r>
      <w:r w:rsidRPr="00402F15">
        <w:rPr>
          <w:noProof/>
        </w:rPr>
        <w:t>Grupların tanımlayıcı özellikleri</w:t>
      </w:r>
      <w:r>
        <w:rPr>
          <w:noProof/>
        </w:rPr>
        <w:tab/>
      </w:r>
      <w:r>
        <w:rPr>
          <w:noProof/>
        </w:rPr>
        <w:fldChar w:fldCharType="begin"/>
      </w:r>
      <w:r>
        <w:rPr>
          <w:noProof/>
        </w:rPr>
        <w:instrText xml:space="preserve"> PAGEREF _Toc492677366 \h </w:instrText>
      </w:r>
      <w:r>
        <w:rPr>
          <w:noProof/>
        </w:rPr>
      </w:r>
      <w:r>
        <w:rPr>
          <w:noProof/>
        </w:rPr>
        <w:fldChar w:fldCharType="separate"/>
      </w:r>
      <w:r>
        <w:rPr>
          <w:noProof/>
        </w:rPr>
        <w:t>46</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 xml:space="preserve">Tablo 3.2. </w:t>
      </w:r>
      <w:r>
        <w:rPr>
          <w:b/>
          <w:noProof/>
        </w:rPr>
        <w:tab/>
      </w:r>
      <w:r w:rsidRPr="00402F15">
        <w:rPr>
          <w:noProof/>
        </w:rPr>
        <w:t>Bazal VMR I</w:t>
      </w:r>
      <w:r>
        <w:rPr>
          <w:noProof/>
        </w:rPr>
        <w:tab/>
      </w:r>
      <w:r>
        <w:rPr>
          <w:noProof/>
        </w:rPr>
        <w:fldChar w:fldCharType="begin"/>
      </w:r>
      <w:r>
        <w:rPr>
          <w:noProof/>
        </w:rPr>
        <w:instrText xml:space="preserve"> PAGEREF _Toc492677367 \h </w:instrText>
      </w:r>
      <w:r>
        <w:rPr>
          <w:noProof/>
        </w:rPr>
      </w:r>
      <w:r>
        <w:rPr>
          <w:noProof/>
        </w:rPr>
        <w:fldChar w:fldCharType="separate"/>
      </w:r>
      <w:r>
        <w:rPr>
          <w:noProof/>
        </w:rPr>
        <w:t>47</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3.3.</w:t>
      </w:r>
      <w:r>
        <w:rPr>
          <w:noProof/>
        </w:rPr>
        <w:t xml:space="preserve"> </w:t>
      </w:r>
      <w:r>
        <w:rPr>
          <w:noProof/>
        </w:rPr>
        <w:tab/>
      </w:r>
      <w:r w:rsidRPr="00402F15">
        <w:rPr>
          <w:noProof/>
        </w:rPr>
        <w:t>Bazal VMR II</w:t>
      </w:r>
      <w:r>
        <w:rPr>
          <w:noProof/>
        </w:rPr>
        <w:tab/>
      </w:r>
      <w:r>
        <w:rPr>
          <w:noProof/>
        </w:rPr>
        <w:fldChar w:fldCharType="begin"/>
      </w:r>
      <w:r>
        <w:rPr>
          <w:noProof/>
        </w:rPr>
        <w:instrText xml:space="preserve"> PAGEREF _Toc492677368 \h </w:instrText>
      </w:r>
      <w:r>
        <w:rPr>
          <w:noProof/>
        </w:rPr>
      </w:r>
      <w:r>
        <w:rPr>
          <w:noProof/>
        </w:rPr>
        <w:fldChar w:fldCharType="separate"/>
      </w:r>
      <w:r>
        <w:rPr>
          <w:noProof/>
        </w:rPr>
        <w:t>53</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3.4.</w:t>
      </w:r>
      <w:r>
        <w:rPr>
          <w:noProof/>
        </w:rPr>
        <w:t xml:space="preserve"> </w:t>
      </w:r>
      <w:r>
        <w:rPr>
          <w:noProof/>
        </w:rPr>
        <w:tab/>
      </w:r>
      <w:r w:rsidRPr="00402F15">
        <w:rPr>
          <w:noProof/>
        </w:rPr>
        <w:t>Migrenli grupta bazal VMR</w:t>
      </w:r>
      <w:r>
        <w:rPr>
          <w:noProof/>
        </w:rPr>
        <w:tab/>
      </w:r>
      <w:r>
        <w:rPr>
          <w:noProof/>
        </w:rPr>
        <w:fldChar w:fldCharType="begin"/>
      </w:r>
      <w:r>
        <w:rPr>
          <w:noProof/>
        </w:rPr>
        <w:instrText xml:space="preserve"> PAGEREF _Toc492677369 \h </w:instrText>
      </w:r>
      <w:r>
        <w:rPr>
          <w:noProof/>
        </w:rPr>
      </w:r>
      <w:r>
        <w:rPr>
          <w:noProof/>
        </w:rPr>
        <w:fldChar w:fldCharType="separate"/>
      </w:r>
      <w:r>
        <w:rPr>
          <w:noProof/>
        </w:rPr>
        <w:t>55</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3.5.</w:t>
      </w:r>
      <w:r>
        <w:rPr>
          <w:noProof/>
        </w:rPr>
        <w:t xml:space="preserve"> </w:t>
      </w:r>
      <w:r>
        <w:rPr>
          <w:noProof/>
        </w:rPr>
        <w:tab/>
      </w:r>
      <w:r w:rsidRPr="00402F15">
        <w:rPr>
          <w:noProof/>
        </w:rPr>
        <w:t>“Bubble test” sonrası VMR parametreleri</w:t>
      </w:r>
      <w:r>
        <w:rPr>
          <w:noProof/>
        </w:rPr>
        <w:tab/>
      </w:r>
      <w:r>
        <w:rPr>
          <w:noProof/>
        </w:rPr>
        <w:fldChar w:fldCharType="begin"/>
      </w:r>
      <w:r>
        <w:rPr>
          <w:noProof/>
        </w:rPr>
        <w:instrText xml:space="preserve"> PAGEREF _Toc492677370 \h </w:instrText>
      </w:r>
      <w:r>
        <w:rPr>
          <w:noProof/>
        </w:rPr>
      </w:r>
      <w:r>
        <w:rPr>
          <w:noProof/>
        </w:rPr>
        <w:fldChar w:fldCharType="separate"/>
      </w:r>
      <w:r>
        <w:rPr>
          <w:noProof/>
        </w:rPr>
        <w:t>60</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3.6a.</w:t>
      </w:r>
      <w:r>
        <w:rPr>
          <w:noProof/>
        </w:rPr>
        <w:t xml:space="preserve"> </w:t>
      </w:r>
      <w:r>
        <w:rPr>
          <w:noProof/>
        </w:rPr>
        <w:tab/>
      </w:r>
      <w:r w:rsidRPr="00402F15">
        <w:rPr>
          <w:noProof/>
        </w:rPr>
        <w:t>Ajite salinin BHI’ne etkisi I</w:t>
      </w:r>
      <w:r>
        <w:rPr>
          <w:noProof/>
        </w:rPr>
        <w:tab/>
      </w:r>
      <w:r>
        <w:rPr>
          <w:noProof/>
        </w:rPr>
        <w:fldChar w:fldCharType="begin"/>
      </w:r>
      <w:r>
        <w:rPr>
          <w:noProof/>
        </w:rPr>
        <w:instrText xml:space="preserve"> PAGEREF _Toc492677371 \h </w:instrText>
      </w:r>
      <w:r>
        <w:rPr>
          <w:noProof/>
        </w:rPr>
      </w:r>
      <w:r>
        <w:rPr>
          <w:noProof/>
        </w:rPr>
        <w:fldChar w:fldCharType="separate"/>
      </w:r>
      <w:r>
        <w:rPr>
          <w:noProof/>
        </w:rPr>
        <w:t>62</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3.6b.</w:t>
      </w:r>
      <w:r>
        <w:rPr>
          <w:noProof/>
        </w:rPr>
        <w:t xml:space="preserve"> </w:t>
      </w:r>
      <w:r>
        <w:rPr>
          <w:noProof/>
        </w:rPr>
        <w:tab/>
      </w:r>
      <w:r w:rsidRPr="00402F15">
        <w:rPr>
          <w:noProof/>
        </w:rPr>
        <w:t>Ajite salinin BHİ’ne etkisi II</w:t>
      </w:r>
      <w:r>
        <w:rPr>
          <w:noProof/>
        </w:rPr>
        <w:tab/>
      </w:r>
      <w:r>
        <w:rPr>
          <w:noProof/>
        </w:rPr>
        <w:fldChar w:fldCharType="begin"/>
      </w:r>
      <w:r>
        <w:rPr>
          <w:noProof/>
        </w:rPr>
        <w:instrText xml:space="preserve"> PAGEREF _Toc492677372 \h </w:instrText>
      </w:r>
      <w:r>
        <w:rPr>
          <w:noProof/>
        </w:rPr>
      </w:r>
      <w:r>
        <w:rPr>
          <w:noProof/>
        </w:rPr>
        <w:fldChar w:fldCharType="separate"/>
      </w:r>
      <w:r>
        <w:rPr>
          <w:noProof/>
        </w:rPr>
        <w:t>63</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3.7a.</w:t>
      </w:r>
      <w:r w:rsidRPr="00402F15">
        <w:rPr>
          <w:noProof/>
        </w:rPr>
        <w:t xml:space="preserve"> </w:t>
      </w:r>
      <w:r>
        <w:rPr>
          <w:noProof/>
        </w:rPr>
        <w:tab/>
      </w:r>
      <w:r w:rsidRPr="00402F15">
        <w:rPr>
          <w:noProof/>
        </w:rPr>
        <w:t>Ajite salinin BHT faz-II dip yanıtına olan etkisi I</w:t>
      </w:r>
      <w:r>
        <w:rPr>
          <w:noProof/>
        </w:rPr>
        <w:tab/>
      </w:r>
      <w:r>
        <w:rPr>
          <w:noProof/>
        </w:rPr>
        <w:fldChar w:fldCharType="begin"/>
      </w:r>
      <w:r>
        <w:rPr>
          <w:noProof/>
        </w:rPr>
        <w:instrText xml:space="preserve"> PAGEREF _Toc492677373 \h </w:instrText>
      </w:r>
      <w:r>
        <w:rPr>
          <w:noProof/>
        </w:rPr>
      </w:r>
      <w:r>
        <w:rPr>
          <w:noProof/>
        </w:rPr>
        <w:fldChar w:fldCharType="separate"/>
      </w:r>
      <w:r>
        <w:rPr>
          <w:noProof/>
        </w:rPr>
        <w:t>64</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3.7b.</w:t>
      </w:r>
      <w:r>
        <w:rPr>
          <w:noProof/>
        </w:rPr>
        <w:t xml:space="preserve"> </w:t>
      </w:r>
      <w:r>
        <w:rPr>
          <w:noProof/>
        </w:rPr>
        <w:tab/>
      </w:r>
      <w:r w:rsidRPr="00402F15">
        <w:rPr>
          <w:noProof/>
        </w:rPr>
        <w:t>Ajite salinin BHT faz-II dip yanıtına olan etkisi II</w:t>
      </w:r>
      <w:r>
        <w:rPr>
          <w:noProof/>
        </w:rPr>
        <w:tab/>
      </w:r>
      <w:r>
        <w:rPr>
          <w:noProof/>
        </w:rPr>
        <w:fldChar w:fldCharType="begin"/>
      </w:r>
      <w:r>
        <w:rPr>
          <w:noProof/>
        </w:rPr>
        <w:instrText xml:space="preserve"> PAGEREF _Toc492677374 \h </w:instrText>
      </w:r>
      <w:r>
        <w:rPr>
          <w:noProof/>
        </w:rPr>
      </w:r>
      <w:r>
        <w:rPr>
          <w:noProof/>
        </w:rPr>
        <w:fldChar w:fldCharType="separate"/>
      </w:r>
      <w:r>
        <w:rPr>
          <w:noProof/>
        </w:rPr>
        <w:t>66</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3.8a.</w:t>
      </w:r>
      <w:r>
        <w:rPr>
          <w:noProof/>
        </w:rPr>
        <w:t xml:space="preserve"> </w:t>
      </w:r>
      <w:r>
        <w:rPr>
          <w:noProof/>
        </w:rPr>
        <w:tab/>
      </w:r>
      <w:r w:rsidRPr="00402F15">
        <w:rPr>
          <w:noProof/>
        </w:rPr>
        <w:t>Ajite salinin hiperventilasyon plato yanıtına olan etkisi I</w:t>
      </w:r>
      <w:r>
        <w:rPr>
          <w:noProof/>
        </w:rPr>
        <w:tab/>
      </w:r>
      <w:r>
        <w:rPr>
          <w:noProof/>
        </w:rPr>
        <w:fldChar w:fldCharType="begin"/>
      </w:r>
      <w:r>
        <w:rPr>
          <w:noProof/>
        </w:rPr>
        <w:instrText xml:space="preserve"> PAGEREF _Toc492677375 \h </w:instrText>
      </w:r>
      <w:r>
        <w:rPr>
          <w:noProof/>
        </w:rPr>
      </w:r>
      <w:r>
        <w:rPr>
          <w:noProof/>
        </w:rPr>
        <w:fldChar w:fldCharType="separate"/>
      </w:r>
      <w:r>
        <w:rPr>
          <w:noProof/>
        </w:rPr>
        <w:t>67</w:t>
      </w:r>
      <w:r>
        <w:rPr>
          <w:noProof/>
        </w:rPr>
        <w:fldChar w:fldCharType="end"/>
      </w:r>
    </w:p>
    <w:p w:rsidR="009C39FF" w:rsidRDefault="009C39FF" w:rsidP="009C39FF">
      <w:pPr>
        <w:pStyle w:val="ekillerTablosu"/>
        <w:tabs>
          <w:tab w:val="left" w:pos="1418"/>
          <w:tab w:val="right" w:pos="8210"/>
        </w:tabs>
        <w:rPr>
          <w:rFonts w:asciiTheme="minorHAnsi" w:eastAsiaTheme="minorEastAsia" w:hAnsiTheme="minorHAnsi"/>
          <w:noProof/>
          <w:sz w:val="22"/>
          <w:lang w:eastAsia="tr-TR"/>
        </w:rPr>
      </w:pPr>
      <w:r w:rsidRPr="009C39FF">
        <w:rPr>
          <w:b/>
          <w:noProof/>
        </w:rPr>
        <w:t>Tablo 3.8b.</w:t>
      </w:r>
      <w:r>
        <w:rPr>
          <w:noProof/>
        </w:rPr>
        <w:t xml:space="preserve"> </w:t>
      </w:r>
      <w:r>
        <w:rPr>
          <w:noProof/>
        </w:rPr>
        <w:tab/>
      </w:r>
      <w:r w:rsidRPr="00402F15">
        <w:rPr>
          <w:noProof/>
        </w:rPr>
        <w:t>Ajite salinin hiperventilasyon plato yanıtına olan etkisi II</w:t>
      </w:r>
      <w:r>
        <w:rPr>
          <w:noProof/>
        </w:rPr>
        <w:tab/>
      </w:r>
      <w:r>
        <w:rPr>
          <w:noProof/>
        </w:rPr>
        <w:fldChar w:fldCharType="begin"/>
      </w:r>
      <w:r>
        <w:rPr>
          <w:noProof/>
        </w:rPr>
        <w:instrText xml:space="preserve"> PAGEREF _Toc492677376 \h </w:instrText>
      </w:r>
      <w:r>
        <w:rPr>
          <w:noProof/>
        </w:rPr>
      </w:r>
      <w:r>
        <w:rPr>
          <w:noProof/>
        </w:rPr>
        <w:fldChar w:fldCharType="separate"/>
      </w:r>
      <w:r>
        <w:rPr>
          <w:noProof/>
        </w:rPr>
        <w:t>68</w:t>
      </w:r>
      <w:r>
        <w:rPr>
          <w:noProof/>
        </w:rPr>
        <w:fldChar w:fldCharType="end"/>
      </w:r>
    </w:p>
    <w:p w:rsidR="009C39FF" w:rsidRDefault="009C39FF" w:rsidP="009C39FF">
      <w:pPr>
        <w:pStyle w:val="ekillerTablosu"/>
        <w:tabs>
          <w:tab w:val="left" w:pos="1418"/>
          <w:tab w:val="right" w:pos="8210"/>
        </w:tabs>
        <w:ind w:left="1418" w:hanging="1418"/>
        <w:rPr>
          <w:rFonts w:asciiTheme="minorHAnsi" w:eastAsiaTheme="minorEastAsia" w:hAnsiTheme="minorHAnsi"/>
          <w:noProof/>
          <w:sz w:val="22"/>
          <w:lang w:eastAsia="tr-TR"/>
        </w:rPr>
      </w:pPr>
      <w:r w:rsidRPr="009C39FF">
        <w:rPr>
          <w:b/>
          <w:noProof/>
        </w:rPr>
        <w:t>Tablo 3.9.</w:t>
      </w:r>
      <w:r>
        <w:rPr>
          <w:noProof/>
        </w:rPr>
        <w:t xml:space="preserve"> </w:t>
      </w:r>
      <w:r>
        <w:rPr>
          <w:noProof/>
        </w:rPr>
        <w:tab/>
      </w:r>
      <w:r w:rsidRPr="00402F15">
        <w:rPr>
          <w:noProof/>
        </w:rPr>
        <w:t xml:space="preserve">Ajite salinin Migren ve/veya PFO hastalarında VMR </w:t>
      </w:r>
      <w:r>
        <w:rPr>
          <w:noProof/>
        </w:rPr>
        <w:t xml:space="preserve">                </w:t>
      </w:r>
      <w:r w:rsidRPr="00402F15">
        <w:rPr>
          <w:noProof/>
        </w:rPr>
        <w:t>üzerine etkisi</w:t>
      </w:r>
      <w:r>
        <w:rPr>
          <w:noProof/>
        </w:rPr>
        <w:tab/>
      </w:r>
      <w:r>
        <w:rPr>
          <w:noProof/>
        </w:rPr>
        <w:fldChar w:fldCharType="begin"/>
      </w:r>
      <w:r>
        <w:rPr>
          <w:noProof/>
        </w:rPr>
        <w:instrText xml:space="preserve"> PAGEREF _Toc492677377 \h </w:instrText>
      </w:r>
      <w:r>
        <w:rPr>
          <w:noProof/>
        </w:rPr>
      </w:r>
      <w:r>
        <w:rPr>
          <w:noProof/>
        </w:rPr>
        <w:fldChar w:fldCharType="separate"/>
      </w:r>
      <w:r>
        <w:rPr>
          <w:noProof/>
        </w:rPr>
        <w:t>70</w:t>
      </w:r>
      <w:r>
        <w:rPr>
          <w:noProof/>
        </w:rPr>
        <w:fldChar w:fldCharType="end"/>
      </w:r>
    </w:p>
    <w:p w:rsidR="00F610CC" w:rsidRDefault="009C39FF" w:rsidP="009C39FF">
      <w:pPr>
        <w:pStyle w:val="METN"/>
        <w:tabs>
          <w:tab w:val="left" w:pos="1418"/>
        </w:tabs>
      </w:pPr>
      <w:r>
        <w:fldChar w:fldCharType="end"/>
      </w:r>
    </w:p>
    <w:p w:rsidR="00F610CC" w:rsidRDefault="00F610CC" w:rsidP="00F610CC">
      <w:pPr>
        <w:pStyle w:val="Balk1"/>
        <w:sectPr w:rsidR="00F610CC" w:rsidSect="00EE3036">
          <w:pgSz w:w="11906" w:h="16838"/>
          <w:pgMar w:top="1701" w:right="1418" w:bottom="1701" w:left="2268" w:header="709" w:footer="709" w:gutter="0"/>
          <w:pgNumType w:fmt="lowerRoman"/>
          <w:cols w:space="708"/>
          <w:docGrid w:linePitch="360"/>
        </w:sectPr>
      </w:pPr>
    </w:p>
    <w:p w:rsidR="00E659A9" w:rsidRDefault="00AA51A2" w:rsidP="00AA51A2">
      <w:pPr>
        <w:pStyle w:val="Balk1"/>
        <w:jc w:val="left"/>
      </w:pPr>
      <w:bookmarkStart w:id="7" w:name="_Toc492677326"/>
      <w:r>
        <w:lastRenderedPageBreak/>
        <w:t>1. GİRİŞ</w:t>
      </w:r>
      <w:bookmarkEnd w:id="7"/>
    </w:p>
    <w:p w:rsidR="00E659A9" w:rsidRPr="00461F9A" w:rsidRDefault="00E659A9" w:rsidP="00AA51A2">
      <w:pPr>
        <w:pStyle w:val="Balk2"/>
      </w:pPr>
      <w:bookmarkStart w:id="8" w:name="_Toc492677327"/>
      <w:r w:rsidRPr="00461F9A">
        <w:t>1.1 Migren Epidemiyoloji</w:t>
      </w:r>
      <w:bookmarkEnd w:id="8"/>
    </w:p>
    <w:p w:rsidR="00E659A9" w:rsidRDefault="00E659A9" w:rsidP="00AA51A2">
      <w:pPr>
        <w:pStyle w:val="METN"/>
      </w:pPr>
      <w:r>
        <w:t>Migren tip baş</w:t>
      </w:r>
      <w:r w:rsidRPr="00923E1C">
        <w:t xml:space="preserve">ağrısı dünyada </w:t>
      </w:r>
      <w:r>
        <w:t>mâlüliyetin</w:t>
      </w:r>
      <w:r w:rsidRPr="00923E1C">
        <w:t xml:space="preserve"> altıncı en sık nedeni olarak bilinmektedir</w:t>
      </w:r>
      <w:r>
        <w:t xml:space="preserve">. </w:t>
      </w:r>
      <w:r>
        <w:rPr>
          <w:noProof/>
        </w:rPr>
        <w:t>[1]</w:t>
      </w:r>
      <w:r>
        <w:t>Ülkemizde yapılmış bir epidemiyolojik çalışmada 2008-2013 yılları arasında</w:t>
      </w:r>
      <w:r w:rsidRPr="00923E1C">
        <w:t xml:space="preserve"> migrenin yıllık insidansının % 2</w:t>
      </w:r>
      <w:r>
        <w:t>,</w:t>
      </w:r>
      <w:r w:rsidRPr="00923E1C">
        <w:t>38</w:t>
      </w:r>
      <w:r>
        <w:t xml:space="preserve"> olduğu görülmüştür. Kadınlarda yıllık insidans % 2,98 iken erkeklerde % 1,93 olarak saptanmıştır. Aynı çalışmada migren prevalansı ise % 16,4 olarak belirlenmiştir </w:t>
      </w:r>
      <w:r>
        <w:rPr>
          <w:noProof/>
        </w:rPr>
        <w:t>[2]</w:t>
      </w:r>
      <w:r w:rsidRPr="00923E1C">
        <w:t>.</w:t>
      </w:r>
      <w:r>
        <w:t xml:space="preserve"> </w:t>
      </w:r>
    </w:p>
    <w:p w:rsidR="00E659A9" w:rsidRDefault="00E659A9" w:rsidP="00AA51A2">
      <w:pPr>
        <w:pStyle w:val="METN"/>
      </w:pPr>
      <w:r>
        <w:t xml:space="preserve">Dünyada migrenin epidemiyolojisine ile ilgili yapılan çalışmalarda farklı yöntemler kullanılmış olup insidansa dair veriler göreceli olarak kısıtlıdır. Stewart ve arkadaşlarının yaptığı bir çalışmda </w:t>
      </w:r>
      <w:r>
        <w:rPr>
          <w:noProof/>
        </w:rPr>
        <w:t>[3]</w:t>
      </w:r>
      <w:r>
        <w:t xml:space="preserve"> erkeklerde insidans </w:t>
      </w:r>
      <w:proofErr w:type="gramStart"/>
      <w:r>
        <w:t>6,6/1000</w:t>
      </w:r>
      <w:proofErr w:type="gramEnd"/>
      <w:r>
        <w:t xml:space="preserve"> kişi/yıl, kadınlardaysa 10/1000 kişi/yıl olarak hesaplanmıştır. Erkeklerde 20’li yaşlarda yeni vakalar çok sık görülmemekle beraber, kadınlarda auralı migren insidansı 12-13 yaş arasında (</w:t>
      </w:r>
      <w:proofErr w:type="gramStart"/>
      <w:r>
        <w:t>14,1/1000</w:t>
      </w:r>
      <w:proofErr w:type="gramEnd"/>
      <w:r>
        <w:t xml:space="preserve"> kişi/yıl), aurasız migren ise 14-17 yaş arasında (18,9/1000 kişi/yıl) pik yapar. Bu çalışmadan ortaya çıkan sonuca göre migrenin başlama yaşı erkeklerde daha erken olup, kadınlar arasında ise auralı migren daha erken ortaya çıkar. Stang ve arkadaşlarının Minnesota ve Olmsted County’de tıbbi hizmet için başvurmuş kişilerin kayıtlarına dair yaptığı çalışmalarda, 30 yaşın altında migren insidansının 1,5-2/1000 kişi/yıl, kadınlardaysa 3-6/1000 kişi/yıl görülmüştür </w:t>
      </w:r>
      <w:r>
        <w:rPr>
          <w:noProof/>
        </w:rPr>
        <w:t>[4, 5]</w:t>
      </w:r>
      <w:r>
        <w:t xml:space="preserve">. Birleşik Krallıkta genel pratisyen kayıtlarından migren insidansının yıllık 1000 kişide 3,69 olduğu görülmüştür </w:t>
      </w:r>
      <w:r>
        <w:rPr>
          <w:noProof/>
        </w:rPr>
        <w:t>[6]</w:t>
      </w:r>
      <w:r>
        <w:t>. “American Migraine Prevalence and Prevention” kohort çalışması ise kadınlarda insidansın 20-24 yaş arası (</w:t>
      </w:r>
      <w:proofErr w:type="gramStart"/>
      <w:r>
        <w:t>18,2/1000</w:t>
      </w:r>
      <w:proofErr w:type="gramEnd"/>
      <w:r>
        <w:t xml:space="preserve"> kişi/yıl), erkeklerdeyse 15-19 yaş arası (6,2/1000 kişi/yıl) en yüksek seviyede olduğunu göstermiştir. Erkeklerde ortalama başlangıç yaşı 25, kadınlardaysa 24 yaş olarak görülmüştür. </w:t>
      </w:r>
      <w:r>
        <w:rPr>
          <w:noProof/>
        </w:rPr>
        <w:t>[7]</w:t>
      </w:r>
      <w:r>
        <w:t xml:space="preserve"> Danimarka’da 1989-2001 yılları arası verileri toplanmış toplum tabanlı bir çalışmada ise migren sıklığı 8.1/1000 kişi/yıl olup, erkek/kadın oranı </w:t>
      </w:r>
      <w:proofErr w:type="gramStart"/>
      <w:r>
        <w:t>1:6</w:t>
      </w:r>
      <w:proofErr w:type="gramEnd"/>
      <w:r>
        <w:t xml:space="preserve"> olarak tespit edlmiştir </w:t>
      </w:r>
      <w:r>
        <w:rPr>
          <w:noProof/>
        </w:rPr>
        <w:t>[8]</w:t>
      </w:r>
      <w:r>
        <w:t>.</w:t>
      </w:r>
    </w:p>
    <w:p w:rsidR="00E659A9" w:rsidRDefault="00E659A9" w:rsidP="00AA51A2">
      <w:pPr>
        <w:pStyle w:val="METN"/>
      </w:pPr>
      <w:r>
        <w:t xml:space="preserve">Stewart ve arkadaşlarının yaptığı toplum </w:t>
      </w:r>
      <w:proofErr w:type="gramStart"/>
      <w:r>
        <w:t>bazlı</w:t>
      </w:r>
      <w:proofErr w:type="gramEnd"/>
      <w:r>
        <w:t xml:space="preserve"> çalışmada kadınların %17,6’sında, erkeklerin ise %5,7’sinde yılda 1 ve üzerinde migren atağının olduğu ortaya çıkmıştır. Her iki cinsiyet göz önüne alınınca, prevalansın en yüksek seviyeye 35-45 yaş arasında ulaştığı görülmüştür. Bu araştırmada </w:t>
      </w:r>
      <w:r>
        <w:lastRenderedPageBreak/>
        <w:t xml:space="preserve">migrene bağlı orta ve ağır şiddetli yeti yitiminin yaş, cinsiyet, aylık gelir, yaşadığı çevre ile bir ilişkisi gösterilememiştir. Bu çalışmaya dayanarak, Amerika Birleşik Devletlerinde yaklaşık 8,7 milyon kadın, 2,6 milyon erkeğin migrene bağlı orta veya ileri derecede yeti yitimi olduğu hesaplanmıştır. Yaklaşık 3,4 milyon kadın ve 1,1 milyon erkeğin ise yılda en az 1 kez migren atağı geçirdiği düşünülmektedir. 30-49 yaş arası, düşük gelirli ailelerde olan kadınların migren açısından en yüksek riskli grup olduğu gösterilmiştir. Bu kişilerin akut migren atağı nedeniyle en sık acile başvuran grup olduğu da saptanmıştır </w:t>
      </w:r>
      <w:r>
        <w:rPr>
          <w:noProof/>
        </w:rPr>
        <w:t>[9]</w:t>
      </w:r>
      <w:r>
        <w:t xml:space="preserve">. </w:t>
      </w:r>
    </w:p>
    <w:p w:rsidR="00E659A9" w:rsidRDefault="00E659A9" w:rsidP="00AA51A2">
      <w:pPr>
        <w:pStyle w:val="METN"/>
      </w:pPr>
      <w:r>
        <w:t xml:space="preserve">Migren epidemiyolojisi hakkında yapılmış bir diğer büyük toplum </w:t>
      </w:r>
      <w:proofErr w:type="gramStart"/>
      <w:r>
        <w:t>bazlı</w:t>
      </w:r>
      <w:proofErr w:type="gramEnd"/>
      <w:r>
        <w:t xml:space="preserve"> çalışma “American Migraine Study” olup prevalans kadınlarda %18,2 ve erkeklerde %6,5 bulunmuşmuştur. Çalışmaya alınmış ailelerin yaklaşık %23’ünde en az 1 aile bireyinde migrenolduğu belirlenmiştir. Migren prevalansının beyaz ırkta ve daha düşük gelirli aile bireylerinde yüksek olduğu görülmüştür. Özellikle, 12 yaşından başlayarak 40 yaşa kadar prevalans artışı görülürken, sonrasında her iki cinste prevalansın azaldığı görülmektedir. Çalışmada soruları yanıtlayan kişilerin yaklaşık %53’de şiddetli baş ağrılarının günlük hayat aktivitelerini etkilediği ve yatarak istirahat etme ihtiyacı olduğu ortaya çıkmıştır. Yaklaşık %31 kişinin migren nedeniyle son 3 ayda en az 1 gün işe veya okula gidemediği; %51’de iş veya ders performansının en az %50 azaldığı; %62’in ayda 1 veya daha fazla atak geçirdiği ve  %10,8’de en az haftada 1 kez şiddetli atağının olduğu saptanmıştır </w:t>
      </w:r>
      <w:r>
        <w:rPr>
          <w:noProof/>
        </w:rPr>
        <w:t>[10]</w:t>
      </w:r>
      <w:r>
        <w:t xml:space="preserve">. Copenhangen çalışmasında erkek kadın oranının </w:t>
      </w:r>
      <w:proofErr w:type="gramStart"/>
      <w:r>
        <w:t>1:2</w:t>
      </w:r>
      <w:proofErr w:type="gramEnd"/>
      <w:r>
        <w:t xml:space="preserve">-3 olduğu görülmüştür.   Prevalansın erkeklerde %4-9,5 arasında, kadınlarda %11,2-25 arasında değiştiği gösterilmiştir. Prevalansın yaşla beraber 4. dekata kadar arttığı ve ardından düşüşe geçtiği izlenmiştir </w:t>
      </w:r>
      <w:r>
        <w:rPr>
          <w:noProof/>
        </w:rPr>
        <w:t>[11]</w:t>
      </w:r>
      <w:r>
        <w:t xml:space="preserve">. </w:t>
      </w:r>
    </w:p>
    <w:p w:rsidR="00E659A9" w:rsidRPr="00461F9A" w:rsidRDefault="00E659A9" w:rsidP="00AA51A2">
      <w:pPr>
        <w:pStyle w:val="Balk2"/>
      </w:pPr>
      <w:bookmarkStart w:id="9" w:name="_Toc492677328"/>
      <w:r w:rsidRPr="00461F9A">
        <w:t>1.2 Migrenin tanısı</w:t>
      </w:r>
      <w:bookmarkEnd w:id="9"/>
    </w:p>
    <w:p w:rsidR="00E659A9" w:rsidRDefault="00E659A9" w:rsidP="00461F9A">
      <w:pPr>
        <w:pStyle w:val="ListeParagraf"/>
        <w:spacing w:line="360" w:lineRule="auto"/>
        <w:ind w:left="0" w:firstLine="567"/>
        <w:jc w:val="both"/>
        <w:rPr>
          <w:rFonts w:ascii="Arial" w:hAnsi="Arial" w:cs="Arial"/>
          <w:sz w:val="24"/>
          <w:szCs w:val="24"/>
        </w:rPr>
      </w:pPr>
      <w:r>
        <w:rPr>
          <w:rFonts w:ascii="Arial" w:hAnsi="Arial" w:cs="Arial"/>
          <w:sz w:val="24"/>
          <w:szCs w:val="24"/>
        </w:rPr>
        <w:t xml:space="preserve">Migren için </w:t>
      </w:r>
      <w:proofErr w:type="gramStart"/>
      <w:r>
        <w:rPr>
          <w:rFonts w:ascii="Arial" w:hAnsi="Arial" w:cs="Arial"/>
          <w:sz w:val="24"/>
          <w:szCs w:val="24"/>
        </w:rPr>
        <w:t>spesifik</w:t>
      </w:r>
      <w:proofErr w:type="gramEnd"/>
      <w:r>
        <w:rPr>
          <w:rFonts w:ascii="Arial" w:hAnsi="Arial" w:cs="Arial"/>
          <w:sz w:val="24"/>
          <w:szCs w:val="24"/>
        </w:rPr>
        <w:t xml:space="preserve"> biyolojik belirteç veya nörogörüntüleme bulgusu yoktur. Migren tanısı hastadan alınmış ayrıntılı hikaye ve nörolojik muayene temelinde klinik kriterlere göre konulmaktadır. Migrenin tanı kriterleri ve sınıflaması “The International Classification of Headache Disorders, 3rd </w:t>
      </w:r>
      <w:r>
        <w:rPr>
          <w:rFonts w:ascii="Arial" w:hAnsi="Arial" w:cs="Arial"/>
          <w:sz w:val="24"/>
          <w:szCs w:val="24"/>
        </w:rPr>
        <w:lastRenderedPageBreak/>
        <w:t xml:space="preserve">edition (ICHD-3)”da belirtilmiştir [3]. Burada aurasız migren, auralı migren, kronik migren, migren komplikasyonları, olası migren ve migrenle ilişkili olabilecek epizodik sendromlar olarak sınıflandırılmıştır </w:t>
      </w:r>
      <w:r>
        <w:rPr>
          <w:rFonts w:ascii="Arial" w:hAnsi="Arial" w:cs="Arial"/>
          <w:noProof/>
          <w:sz w:val="24"/>
          <w:szCs w:val="24"/>
        </w:rPr>
        <w:t>[12]</w:t>
      </w:r>
      <w:r>
        <w:rPr>
          <w:rFonts w:ascii="Arial" w:hAnsi="Arial" w:cs="Arial"/>
          <w:sz w:val="24"/>
          <w:szCs w:val="24"/>
        </w:rPr>
        <w:t xml:space="preserve">. </w:t>
      </w:r>
    </w:p>
    <w:p w:rsidR="00E659A9" w:rsidRDefault="00E659A9" w:rsidP="00461F9A">
      <w:pPr>
        <w:pStyle w:val="ListeParagraf"/>
        <w:spacing w:line="360" w:lineRule="auto"/>
        <w:ind w:left="0" w:firstLine="567"/>
        <w:jc w:val="both"/>
        <w:rPr>
          <w:rFonts w:ascii="Arial" w:hAnsi="Arial" w:cs="Arial"/>
          <w:sz w:val="24"/>
          <w:szCs w:val="24"/>
        </w:rPr>
      </w:pPr>
      <w:r>
        <w:rPr>
          <w:rFonts w:ascii="Arial" w:hAnsi="Arial" w:cs="Arial"/>
          <w:sz w:val="24"/>
          <w:szCs w:val="24"/>
        </w:rPr>
        <w:t>Aurasız migren ICHD-3 tanı kriterleri [3] aşağıdaki gibidir:</w:t>
      </w:r>
    </w:p>
    <w:p w:rsidR="00E659A9" w:rsidRDefault="00E659A9" w:rsidP="00AA51A2">
      <w:pPr>
        <w:pStyle w:val="ListeParagraf"/>
        <w:numPr>
          <w:ilvl w:val="0"/>
          <w:numId w:val="4"/>
        </w:numPr>
        <w:spacing w:line="360" w:lineRule="auto"/>
        <w:ind w:left="1134" w:hanging="567"/>
        <w:jc w:val="both"/>
        <w:rPr>
          <w:rFonts w:ascii="Arial" w:hAnsi="Arial" w:cs="Arial"/>
          <w:sz w:val="24"/>
          <w:szCs w:val="24"/>
        </w:rPr>
      </w:pPr>
      <w:r>
        <w:rPr>
          <w:rFonts w:ascii="Arial" w:hAnsi="Arial" w:cs="Arial"/>
          <w:sz w:val="24"/>
          <w:szCs w:val="24"/>
        </w:rPr>
        <w:t xml:space="preserve">Geçmişte, B ve D </w:t>
      </w:r>
      <w:proofErr w:type="gramStart"/>
      <w:r>
        <w:rPr>
          <w:rFonts w:ascii="Arial" w:hAnsi="Arial" w:cs="Arial"/>
          <w:sz w:val="24"/>
          <w:szCs w:val="24"/>
        </w:rPr>
        <w:t>kriterlerini</w:t>
      </w:r>
      <w:proofErr w:type="gramEnd"/>
      <w:r>
        <w:rPr>
          <w:rFonts w:ascii="Arial" w:hAnsi="Arial" w:cs="Arial"/>
          <w:sz w:val="24"/>
          <w:szCs w:val="24"/>
        </w:rPr>
        <w:t xml:space="preserve"> dolduran en az 5 atak geçirmiş olmak,</w:t>
      </w:r>
    </w:p>
    <w:p w:rsidR="00E659A9" w:rsidRDefault="00E659A9" w:rsidP="00AA51A2">
      <w:pPr>
        <w:pStyle w:val="ListeParagraf"/>
        <w:numPr>
          <w:ilvl w:val="0"/>
          <w:numId w:val="4"/>
        </w:numPr>
        <w:spacing w:line="360" w:lineRule="auto"/>
        <w:ind w:left="1134" w:hanging="567"/>
        <w:jc w:val="both"/>
        <w:rPr>
          <w:rFonts w:ascii="Arial" w:hAnsi="Arial" w:cs="Arial"/>
          <w:sz w:val="24"/>
          <w:szCs w:val="24"/>
        </w:rPr>
      </w:pPr>
      <w:r>
        <w:rPr>
          <w:rFonts w:ascii="Arial" w:hAnsi="Arial" w:cs="Arial"/>
          <w:sz w:val="24"/>
          <w:szCs w:val="24"/>
        </w:rPr>
        <w:t>Baş ağrısı ataklarının 4-72 saat sürmesi (tedavisiz ya da başarısız tedavi girişimi)</w:t>
      </w:r>
    </w:p>
    <w:p w:rsidR="00E659A9" w:rsidRDefault="00E659A9" w:rsidP="00AA51A2">
      <w:pPr>
        <w:pStyle w:val="ListeParagraf"/>
        <w:numPr>
          <w:ilvl w:val="0"/>
          <w:numId w:val="4"/>
        </w:numPr>
        <w:spacing w:line="360" w:lineRule="auto"/>
        <w:ind w:left="1134" w:hanging="567"/>
        <w:jc w:val="both"/>
        <w:rPr>
          <w:rFonts w:ascii="Arial" w:hAnsi="Arial" w:cs="Arial"/>
          <w:sz w:val="24"/>
          <w:szCs w:val="24"/>
        </w:rPr>
      </w:pPr>
      <w:r>
        <w:rPr>
          <w:rFonts w:ascii="Arial" w:hAnsi="Arial" w:cs="Arial"/>
          <w:sz w:val="24"/>
          <w:szCs w:val="24"/>
        </w:rPr>
        <w:t>Baş ağrısının aşağıdaki özelliklerinden en az 2 ve fazlasını içermesi</w:t>
      </w:r>
    </w:p>
    <w:p w:rsidR="00E659A9" w:rsidRDefault="00E659A9" w:rsidP="00AA51A2">
      <w:pPr>
        <w:pStyle w:val="ListeParagraf"/>
        <w:numPr>
          <w:ilvl w:val="0"/>
          <w:numId w:val="6"/>
        </w:numPr>
        <w:spacing w:line="360" w:lineRule="auto"/>
        <w:ind w:left="1418" w:hanging="284"/>
        <w:jc w:val="both"/>
        <w:rPr>
          <w:rFonts w:ascii="Arial" w:hAnsi="Arial" w:cs="Arial"/>
          <w:sz w:val="24"/>
          <w:szCs w:val="24"/>
        </w:rPr>
      </w:pPr>
      <w:r>
        <w:rPr>
          <w:rFonts w:ascii="Arial" w:hAnsi="Arial" w:cs="Arial"/>
          <w:sz w:val="24"/>
          <w:szCs w:val="24"/>
        </w:rPr>
        <w:t>Tek taraflı yerleşim</w:t>
      </w:r>
    </w:p>
    <w:p w:rsidR="00E659A9" w:rsidRDefault="00E659A9" w:rsidP="00AA51A2">
      <w:pPr>
        <w:pStyle w:val="ListeParagraf"/>
        <w:numPr>
          <w:ilvl w:val="0"/>
          <w:numId w:val="6"/>
        </w:numPr>
        <w:spacing w:line="360" w:lineRule="auto"/>
        <w:ind w:left="1418" w:hanging="284"/>
        <w:jc w:val="both"/>
        <w:rPr>
          <w:rFonts w:ascii="Arial" w:hAnsi="Arial" w:cs="Arial"/>
          <w:sz w:val="24"/>
          <w:szCs w:val="24"/>
        </w:rPr>
      </w:pPr>
      <w:r>
        <w:rPr>
          <w:rFonts w:ascii="Arial" w:hAnsi="Arial" w:cs="Arial"/>
          <w:sz w:val="24"/>
          <w:szCs w:val="24"/>
        </w:rPr>
        <w:t>Zonklayıcı karakter</w:t>
      </w:r>
    </w:p>
    <w:p w:rsidR="00E659A9" w:rsidRDefault="00E659A9" w:rsidP="00AA51A2">
      <w:pPr>
        <w:pStyle w:val="ListeParagraf"/>
        <w:numPr>
          <w:ilvl w:val="0"/>
          <w:numId w:val="6"/>
        </w:numPr>
        <w:spacing w:line="360" w:lineRule="auto"/>
        <w:ind w:left="1418" w:hanging="284"/>
        <w:jc w:val="both"/>
        <w:rPr>
          <w:rFonts w:ascii="Arial" w:hAnsi="Arial" w:cs="Arial"/>
          <w:sz w:val="24"/>
          <w:szCs w:val="24"/>
        </w:rPr>
      </w:pPr>
      <w:r>
        <w:rPr>
          <w:rFonts w:ascii="Arial" w:hAnsi="Arial" w:cs="Arial"/>
          <w:sz w:val="24"/>
          <w:szCs w:val="24"/>
        </w:rPr>
        <w:t>Orta veya şiddetli ağrı</w:t>
      </w:r>
    </w:p>
    <w:p w:rsidR="00E659A9" w:rsidRDefault="00E659A9" w:rsidP="00AA51A2">
      <w:pPr>
        <w:pStyle w:val="ListeParagraf"/>
        <w:numPr>
          <w:ilvl w:val="0"/>
          <w:numId w:val="6"/>
        </w:numPr>
        <w:spacing w:line="360" w:lineRule="auto"/>
        <w:ind w:left="1418" w:hanging="284"/>
        <w:jc w:val="both"/>
        <w:rPr>
          <w:rFonts w:ascii="Arial" w:hAnsi="Arial" w:cs="Arial"/>
          <w:sz w:val="24"/>
          <w:szCs w:val="24"/>
        </w:rPr>
      </w:pPr>
      <w:r>
        <w:rPr>
          <w:rFonts w:ascii="Arial" w:hAnsi="Arial" w:cs="Arial"/>
          <w:sz w:val="24"/>
          <w:szCs w:val="24"/>
        </w:rPr>
        <w:t>Rutin fizik aktivitelerde ağrının şiddetlenmesi ve aktivitelerden kaçınma</w:t>
      </w:r>
    </w:p>
    <w:p w:rsidR="00E659A9" w:rsidRDefault="00E659A9" w:rsidP="00AA51A2">
      <w:pPr>
        <w:pStyle w:val="ListeParagraf"/>
        <w:numPr>
          <w:ilvl w:val="0"/>
          <w:numId w:val="4"/>
        </w:numPr>
        <w:spacing w:line="360" w:lineRule="auto"/>
        <w:ind w:left="1134" w:hanging="567"/>
        <w:jc w:val="both"/>
        <w:rPr>
          <w:rFonts w:ascii="Arial" w:hAnsi="Arial" w:cs="Arial"/>
          <w:sz w:val="24"/>
          <w:szCs w:val="24"/>
        </w:rPr>
      </w:pPr>
      <w:r>
        <w:rPr>
          <w:rFonts w:ascii="Arial" w:hAnsi="Arial" w:cs="Arial"/>
          <w:sz w:val="24"/>
          <w:szCs w:val="24"/>
        </w:rPr>
        <w:t>Ağrıya aşağıdaki sempotmlardan 1 ya da fazlasının eşlik etmesi</w:t>
      </w:r>
    </w:p>
    <w:p w:rsidR="00E659A9" w:rsidRDefault="00E659A9" w:rsidP="00AA51A2">
      <w:pPr>
        <w:pStyle w:val="ListeParagraf"/>
        <w:numPr>
          <w:ilvl w:val="0"/>
          <w:numId w:val="7"/>
        </w:numPr>
        <w:spacing w:line="360" w:lineRule="auto"/>
        <w:ind w:left="1560" w:hanging="426"/>
        <w:jc w:val="both"/>
        <w:rPr>
          <w:rFonts w:ascii="Arial" w:hAnsi="Arial" w:cs="Arial"/>
          <w:sz w:val="24"/>
          <w:szCs w:val="24"/>
        </w:rPr>
      </w:pPr>
      <w:r>
        <w:rPr>
          <w:rFonts w:ascii="Arial" w:hAnsi="Arial" w:cs="Arial"/>
          <w:sz w:val="24"/>
          <w:szCs w:val="24"/>
        </w:rPr>
        <w:t>Bulantı ve/veya kusma</w:t>
      </w:r>
    </w:p>
    <w:p w:rsidR="00E659A9" w:rsidRDefault="00E659A9" w:rsidP="00AA51A2">
      <w:pPr>
        <w:pStyle w:val="ListeParagraf"/>
        <w:numPr>
          <w:ilvl w:val="0"/>
          <w:numId w:val="7"/>
        </w:numPr>
        <w:spacing w:line="360" w:lineRule="auto"/>
        <w:ind w:left="1560" w:hanging="426"/>
        <w:jc w:val="both"/>
        <w:rPr>
          <w:rFonts w:ascii="Arial" w:hAnsi="Arial" w:cs="Arial"/>
          <w:sz w:val="24"/>
          <w:szCs w:val="24"/>
        </w:rPr>
      </w:pPr>
      <w:r>
        <w:rPr>
          <w:rFonts w:ascii="Arial" w:hAnsi="Arial" w:cs="Arial"/>
          <w:sz w:val="24"/>
          <w:szCs w:val="24"/>
        </w:rPr>
        <w:t>Fotofobi ve sonofobi</w:t>
      </w:r>
    </w:p>
    <w:p w:rsidR="00E659A9" w:rsidRDefault="00E659A9" w:rsidP="00AA51A2">
      <w:pPr>
        <w:pStyle w:val="ListeParagraf"/>
        <w:numPr>
          <w:ilvl w:val="0"/>
          <w:numId w:val="4"/>
        </w:numPr>
        <w:spacing w:line="360" w:lineRule="auto"/>
        <w:ind w:left="1134" w:hanging="567"/>
        <w:jc w:val="both"/>
        <w:rPr>
          <w:rFonts w:ascii="Arial" w:hAnsi="Arial" w:cs="Arial"/>
          <w:sz w:val="24"/>
          <w:szCs w:val="24"/>
        </w:rPr>
      </w:pPr>
      <w:r>
        <w:rPr>
          <w:rFonts w:ascii="Arial" w:hAnsi="Arial" w:cs="Arial"/>
          <w:sz w:val="24"/>
          <w:szCs w:val="24"/>
        </w:rPr>
        <w:t>Altta yatan başka durum veya hastalığın olmaması</w:t>
      </w:r>
    </w:p>
    <w:p w:rsidR="00AA51A2" w:rsidRDefault="00AA51A2" w:rsidP="00AA51A2">
      <w:pPr>
        <w:pStyle w:val="METN"/>
      </w:pPr>
    </w:p>
    <w:p w:rsidR="00E659A9" w:rsidRDefault="00E659A9" w:rsidP="00AA51A2">
      <w:pPr>
        <w:pStyle w:val="METN"/>
      </w:pPr>
      <w:r>
        <w:t xml:space="preserve">Auralı migren ICHD-3 tanı </w:t>
      </w:r>
      <w:proofErr w:type="gramStart"/>
      <w:r>
        <w:t>kriterleri</w:t>
      </w:r>
      <w:proofErr w:type="gramEnd"/>
      <w:r>
        <w:t xml:space="preserve"> [3] aşağıdaki gibidir:</w:t>
      </w:r>
    </w:p>
    <w:p w:rsidR="00E659A9" w:rsidRDefault="00E659A9" w:rsidP="00AA51A2">
      <w:pPr>
        <w:pStyle w:val="ListeParagraf"/>
        <w:numPr>
          <w:ilvl w:val="0"/>
          <w:numId w:val="8"/>
        </w:numPr>
        <w:spacing w:line="360" w:lineRule="auto"/>
        <w:ind w:left="1134" w:hanging="567"/>
        <w:jc w:val="both"/>
        <w:rPr>
          <w:rFonts w:ascii="Arial" w:hAnsi="Arial" w:cs="Arial"/>
          <w:sz w:val="24"/>
          <w:szCs w:val="24"/>
        </w:rPr>
      </w:pPr>
      <w:r>
        <w:rPr>
          <w:rFonts w:ascii="Arial" w:hAnsi="Arial" w:cs="Arial"/>
          <w:sz w:val="24"/>
          <w:szCs w:val="24"/>
        </w:rPr>
        <w:t xml:space="preserve">Geçmişte, B ve C </w:t>
      </w:r>
      <w:proofErr w:type="gramStart"/>
      <w:r>
        <w:rPr>
          <w:rFonts w:ascii="Arial" w:hAnsi="Arial" w:cs="Arial"/>
          <w:sz w:val="24"/>
          <w:szCs w:val="24"/>
        </w:rPr>
        <w:t>kriterlerini</w:t>
      </w:r>
      <w:proofErr w:type="gramEnd"/>
      <w:r>
        <w:rPr>
          <w:rFonts w:ascii="Arial" w:hAnsi="Arial" w:cs="Arial"/>
          <w:sz w:val="24"/>
          <w:szCs w:val="24"/>
        </w:rPr>
        <w:t xml:space="preserve"> dolduran en az 2 atak geçirmiş olmak,</w:t>
      </w:r>
    </w:p>
    <w:p w:rsidR="00E659A9" w:rsidRDefault="00E659A9" w:rsidP="00AA51A2">
      <w:pPr>
        <w:pStyle w:val="ListeParagraf"/>
        <w:numPr>
          <w:ilvl w:val="0"/>
          <w:numId w:val="8"/>
        </w:numPr>
        <w:spacing w:line="360" w:lineRule="auto"/>
        <w:ind w:left="1134" w:hanging="567"/>
        <w:jc w:val="both"/>
        <w:rPr>
          <w:rFonts w:ascii="Arial" w:hAnsi="Arial" w:cs="Arial"/>
          <w:sz w:val="24"/>
          <w:szCs w:val="24"/>
        </w:rPr>
      </w:pPr>
      <w:r>
        <w:rPr>
          <w:rFonts w:ascii="Arial" w:hAnsi="Arial" w:cs="Arial"/>
          <w:sz w:val="24"/>
          <w:szCs w:val="24"/>
        </w:rPr>
        <w:t>Tamamen geri dönen aşağıdaki aura semptomlarından en az 1 ve fazlasını içermesi :</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Görsel</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Sensör</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Konuşma ve/veya dil</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Motor</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Beyinsapı</w:t>
      </w:r>
    </w:p>
    <w:p w:rsidR="00E659A9" w:rsidRDefault="00E659A9" w:rsidP="00AA51A2">
      <w:pPr>
        <w:pStyle w:val="ListeParagraf"/>
        <w:numPr>
          <w:ilvl w:val="0"/>
          <w:numId w:val="9"/>
        </w:numPr>
        <w:spacing w:line="360" w:lineRule="auto"/>
        <w:ind w:left="1701" w:hanging="567"/>
        <w:jc w:val="both"/>
        <w:rPr>
          <w:rFonts w:ascii="Arial" w:hAnsi="Arial" w:cs="Arial"/>
          <w:sz w:val="24"/>
          <w:szCs w:val="24"/>
        </w:rPr>
      </w:pPr>
      <w:r>
        <w:rPr>
          <w:rFonts w:ascii="Arial" w:hAnsi="Arial" w:cs="Arial"/>
          <w:sz w:val="24"/>
          <w:szCs w:val="24"/>
        </w:rPr>
        <w:t>Retinal</w:t>
      </w:r>
    </w:p>
    <w:p w:rsidR="00E659A9" w:rsidRDefault="00E659A9" w:rsidP="00461F9A">
      <w:pPr>
        <w:pStyle w:val="ListeParagraf"/>
        <w:numPr>
          <w:ilvl w:val="0"/>
          <w:numId w:val="8"/>
        </w:numPr>
        <w:spacing w:line="360" w:lineRule="auto"/>
        <w:ind w:left="0" w:firstLine="567"/>
        <w:jc w:val="both"/>
        <w:rPr>
          <w:rFonts w:ascii="Arial" w:hAnsi="Arial" w:cs="Arial"/>
          <w:sz w:val="24"/>
          <w:szCs w:val="24"/>
        </w:rPr>
      </w:pPr>
      <w:r w:rsidRPr="00930217">
        <w:rPr>
          <w:rFonts w:ascii="Arial" w:hAnsi="Arial" w:cs="Arial"/>
          <w:sz w:val="24"/>
          <w:szCs w:val="24"/>
        </w:rPr>
        <w:t>Aşağıda</w:t>
      </w:r>
      <w:r>
        <w:rPr>
          <w:rFonts w:ascii="Arial" w:hAnsi="Arial" w:cs="Arial"/>
          <w:sz w:val="24"/>
          <w:szCs w:val="24"/>
        </w:rPr>
        <w:t>ki özelliklerden en az 2 ve fazlasını içermesi:</w:t>
      </w:r>
    </w:p>
    <w:p w:rsidR="00E659A9" w:rsidRDefault="00E659A9" w:rsidP="00AA51A2">
      <w:pPr>
        <w:pStyle w:val="ListeParagraf"/>
        <w:numPr>
          <w:ilvl w:val="0"/>
          <w:numId w:val="10"/>
        </w:numPr>
        <w:spacing w:line="360" w:lineRule="auto"/>
        <w:ind w:left="1701" w:hanging="567"/>
        <w:jc w:val="both"/>
        <w:rPr>
          <w:rFonts w:ascii="Arial" w:hAnsi="Arial" w:cs="Arial"/>
          <w:sz w:val="24"/>
          <w:szCs w:val="24"/>
        </w:rPr>
      </w:pPr>
      <w:r>
        <w:rPr>
          <w:rFonts w:ascii="Arial" w:hAnsi="Arial" w:cs="Arial"/>
          <w:sz w:val="24"/>
          <w:szCs w:val="24"/>
        </w:rPr>
        <w:t xml:space="preserve">En az 1 aura </w:t>
      </w:r>
      <w:proofErr w:type="gramStart"/>
      <w:r>
        <w:rPr>
          <w:rFonts w:ascii="Arial" w:hAnsi="Arial" w:cs="Arial"/>
          <w:sz w:val="24"/>
          <w:szCs w:val="24"/>
        </w:rPr>
        <w:t>semptomunun</w:t>
      </w:r>
      <w:proofErr w:type="gramEnd"/>
      <w:r>
        <w:rPr>
          <w:rFonts w:ascii="Arial" w:hAnsi="Arial" w:cs="Arial"/>
          <w:sz w:val="24"/>
          <w:szCs w:val="24"/>
        </w:rPr>
        <w:t xml:space="preserve"> 5 dakika ve üzerinde gelişerek yayılması ve / veya izlemde 2 veya üzerinde semptomun oluşması,</w:t>
      </w:r>
    </w:p>
    <w:p w:rsidR="00E659A9" w:rsidRDefault="00E659A9" w:rsidP="00AA51A2">
      <w:pPr>
        <w:pStyle w:val="ListeParagraf"/>
        <w:numPr>
          <w:ilvl w:val="0"/>
          <w:numId w:val="10"/>
        </w:numPr>
        <w:spacing w:line="360" w:lineRule="auto"/>
        <w:ind w:left="1701" w:hanging="567"/>
        <w:jc w:val="both"/>
        <w:rPr>
          <w:rFonts w:ascii="Arial" w:hAnsi="Arial" w:cs="Arial"/>
          <w:sz w:val="24"/>
          <w:szCs w:val="24"/>
        </w:rPr>
      </w:pPr>
      <w:r>
        <w:rPr>
          <w:rFonts w:ascii="Arial" w:hAnsi="Arial" w:cs="Arial"/>
          <w:sz w:val="24"/>
          <w:szCs w:val="24"/>
        </w:rPr>
        <w:lastRenderedPageBreak/>
        <w:t>Söz konusu semptomun 5 ile 60 dakika arası sürmesi,</w:t>
      </w:r>
    </w:p>
    <w:p w:rsidR="00E659A9" w:rsidRDefault="00E659A9" w:rsidP="00AA51A2">
      <w:pPr>
        <w:pStyle w:val="ListeParagraf"/>
        <w:numPr>
          <w:ilvl w:val="0"/>
          <w:numId w:val="10"/>
        </w:numPr>
        <w:spacing w:line="360" w:lineRule="auto"/>
        <w:ind w:left="1701" w:hanging="567"/>
        <w:jc w:val="both"/>
        <w:rPr>
          <w:rFonts w:ascii="Arial" w:hAnsi="Arial" w:cs="Arial"/>
          <w:sz w:val="24"/>
          <w:szCs w:val="24"/>
        </w:rPr>
      </w:pPr>
      <w:r>
        <w:rPr>
          <w:rFonts w:ascii="Arial" w:hAnsi="Arial" w:cs="Arial"/>
          <w:sz w:val="24"/>
          <w:szCs w:val="24"/>
        </w:rPr>
        <w:t>En az 1 aura semptomunun unilateral olması,</w:t>
      </w:r>
    </w:p>
    <w:p w:rsidR="00E659A9" w:rsidRDefault="00E659A9" w:rsidP="00AA51A2">
      <w:pPr>
        <w:pStyle w:val="ListeParagraf"/>
        <w:numPr>
          <w:ilvl w:val="0"/>
          <w:numId w:val="10"/>
        </w:numPr>
        <w:spacing w:line="360" w:lineRule="auto"/>
        <w:ind w:left="1701" w:hanging="567"/>
        <w:jc w:val="both"/>
        <w:rPr>
          <w:rFonts w:ascii="Arial" w:hAnsi="Arial" w:cs="Arial"/>
          <w:sz w:val="24"/>
          <w:szCs w:val="24"/>
        </w:rPr>
      </w:pPr>
      <w:r>
        <w:rPr>
          <w:rFonts w:ascii="Arial" w:hAnsi="Arial" w:cs="Arial"/>
          <w:sz w:val="24"/>
          <w:szCs w:val="24"/>
        </w:rPr>
        <w:t>Baş ağrının auraya eşlik etmesi ve izleyen 60 dakika içinde ortaya çıkması,</w:t>
      </w:r>
    </w:p>
    <w:p w:rsidR="00E659A9" w:rsidRDefault="00E659A9" w:rsidP="00461F9A">
      <w:pPr>
        <w:pStyle w:val="ListeParagraf"/>
        <w:numPr>
          <w:ilvl w:val="0"/>
          <w:numId w:val="8"/>
        </w:numPr>
        <w:spacing w:line="360" w:lineRule="auto"/>
        <w:ind w:left="0" w:firstLine="567"/>
        <w:jc w:val="both"/>
        <w:rPr>
          <w:rFonts w:ascii="Arial" w:hAnsi="Arial" w:cs="Arial"/>
          <w:sz w:val="24"/>
          <w:szCs w:val="24"/>
        </w:rPr>
      </w:pPr>
      <w:r>
        <w:rPr>
          <w:rFonts w:ascii="Arial" w:hAnsi="Arial" w:cs="Arial"/>
          <w:sz w:val="24"/>
          <w:szCs w:val="24"/>
        </w:rPr>
        <w:t>ICHD-3 sınıflamasındaki diğer tanılara uymaması ve geçici iskemik atak (GİA) tanısının dışlanmış olması</w:t>
      </w:r>
    </w:p>
    <w:p w:rsidR="00E659A9" w:rsidRPr="00461F9A" w:rsidRDefault="00AA51A2" w:rsidP="00AA51A2">
      <w:pPr>
        <w:pStyle w:val="Balk2"/>
      </w:pPr>
      <w:bookmarkStart w:id="10" w:name="_Toc492677329"/>
      <w:r>
        <w:t xml:space="preserve">1.3. </w:t>
      </w:r>
      <w:r w:rsidR="00E659A9" w:rsidRPr="00461F9A">
        <w:t>Migrenin kliniği</w:t>
      </w:r>
      <w:bookmarkEnd w:id="10"/>
    </w:p>
    <w:p w:rsidR="00E659A9" w:rsidRDefault="00E659A9" w:rsidP="00AA51A2">
      <w:pPr>
        <w:pStyle w:val="METN"/>
      </w:pPr>
      <w:r>
        <w:t xml:space="preserve">Migren rekürren ataklarla karakterize hastalıktır. Ataklar, birkaç saatten birkaç güne kadar devam eden olaylar dizisi olarak ortaya çıkmaktadır. Tipik migren atağının 4 dönemi vardır: Prodromal dönem, aura, baş ağrısı ve postdromal dönem </w:t>
      </w:r>
      <w:r>
        <w:rPr>
          <w:noProof/>
        </w:rPr>
        <w:t>[13]</w:t>
      </w:r>
      <w:r>
        <w:t xml:space="preserve">. </w:t>
      </w:r>
    </w:p>
    <w:p w:rsidR="00E659A9" w:rsidRDefault="00E659A9" w:rsidP="00AA51A2">
      <w:pPr>
        <w:pStyle w:val="METN"/>
      </w:pPr>
      <w:r>
        <w:t xml:space="preserve">Prodromal dönem bulguları baş ağrısı atağından birkaç saat önce ortaya çıktığı bilinmektedir. En sık görülen prodromal bulgular yorgunluk, irritabilite, </w:t>
      </w:r>
      <w:proofErr w:type="gramStart"/>
      <w:r>
        <w:t>konsantrasyon</w:t>
      </w:r>
      <w:proofErr w:type="gramEnd"/>
      <w:r>
        <w:t xml:space="preserve"> bozukluğu gibi ruhsal bulguların yanı sıra, esneme, konstipasyon ve boyun sertliği şeklindedir </w:t>
      </w:r>
      <w:r>
        <w:rPr>
          <w:noProof/>
        </w:rPr>
        <w:t>[14, 15]</w:t>
      </w:r>
      <w:r>
        <w:t xml:space="preserve">. Beraberinde piloereksiyon, beslenme alışkanlığı, vücut algılaması veya yüz ifadesinde değişiklikler görülebilir. Yapılmış </w:t>
      </w:r>
      <w:proofErr w:type="gramStart"/>
      <w:r>
        <w:t>retrospektif</w:t>
      </w:r>
      <w:proofErr w:type="gramEnd"/>
      <w:r>
        <w:t xml:space="preserve"> ve prospektif çalışmalarda migreni olan erişkinlerin yaklaşık % 80’e kadarında prodromal dönem olduğu gösterilmiştir </w:t>
      </w:r>
      <w:r>
        <w:rPr>
          <w:noProof/>
        </w:rPr>
        <w:t>[16, 17]</w:t>
      </w:r>
      <w:r>
        <w:t xml:space="preserve">. </w:t>
      </w:r>
    </w:p>
    <w:p w:rsidR="00E659A9" w:rsidRDefault="00E659A9" w:rsidP="00AA51A2">
      <w:pPr>
        <w:pStyle w:val="METN"/>
      </w:pPr>
      <w:r>
        <w:t xml:space="preserve">Aura migren hastalarının yaklaşık % 25 kadarında görülmektedir. Bunlar bir veya eşzamanlı birkaç fokal nörolojik bulgular şeklinde görülebilir. Daha önceleri auranın migren baş ağrısından önce görüldüğü düşünülmekteydi. Daha sonraki dönemde yapılmış prospektif çalışmalar, auranın baş ağrısı sırasında da görülebileceğini ortaya koymuştur </w:t>
      </w:r>
      <w:r>
        <w:rPr>
          <w:noProof/>
        </w:rPr>
        <w:t>[18]</w:t>
      </w:r>
      <w:r>
        <w:t xml:space="preserve">. </w:t>
      </w:r>
    </w:p>
    <w:p w:rsidR="00E659A9" w:rsidRDefault="00E659A9" w:rsidP="00AA51A2">
      <w:pPr>
        <w:pStyle w:val="METN"/>
      </w:pPr>
      <w:r>
        <w:t xml:space="preserve">Tipik migren aurası </w:t>
      </w:r>
      <w:proofErr w:type="gramStart"/>
      <w:r>
        <w:t>semptomları</w:t>
      </w:r>
      <w:proofErr w:type="gramEnd"/>
      <w:r>
        <w:t xml:space="preserve"> aşamalı şekilde başlayarak artar. Bunlar 1 saatten az süren, pozitif ve negatif </w:t>
      </w:r>
      <w:proofErr w:type="gramStart"/>
      <w:r>
        <w:t>fenomenlerin</w:t>
      </w:r>
      <w:proofErr w:type="gramEnd"/>
      <w:r>
        <w:t xml:space="preserve"> karışımından ibarettir. Bu bulguların tamamen geçtiği ve eski haline geri döndüğü görülür. Tipik pozitif </w:t>
      </w:r>
      <w:proofErr w:type="gramStart"/>
      <w:r>
        <w:t>semptomlar</w:t>
      </w:r>
      <w:proofErr w:type="gramEnd"/>
      <w:r>
        <w:t xml:space="preserve"> görsel (objeler, figürler, parlak çizgiler), işitsel (tinnitus, sesler, müzik), somatosensöriyel (yanma, ağrı, parestezi) veya motor (tekrarlayıcı ritmik hareketler) şeklinde olabilirler. Bunlar da tıpkı pozitif </w:t>
      </w:r>
      <w:proofErr w:type="gramStart"/>
      <w:r>
        <w:t>semptomlar</w:t>
      </w:r>
      <w:proofErr w:type="gramEnd"/>
      <w:r>
        <w:t xml:space="preserve"> gibi görsel, işitsel, somatosensöriyel ve motor olabilir </w:t>
      </w:r>
      <w:r>
        <w:rPr>
          <w:noProof/>
        </w:rPr>
        <w:t>[12]</w:t>
      </w:r>
      <w:r>
        <w:t>.</w:t>
      </w:r>
    </w:p>
    <w:p w:rsidR="00E659A9" w:rsidRDefault="00E659A9" w:rsidP="00AA51A2">
      <w:pPr>
        <w:pStyle w:val="METN"/>
      </w:pPr>
      <w:r>
        <w:lastRenderedPageBreak/>
        <w:t xml:space="preserve">Bunların arasında en sık görüleni görsel auralardır. Görsel aura genellikle, fiksasyon noktası lateralinden itibaren küçük görme alanı kaybı şeklinde başlamaktadır. Burada parlak nokta veya görme kaybı şeklinde görüntü oluşur. Takip eden 5-60 dakika süresinde ise görme bozukluğu genişleyerek bir kadranı veya görme alanının yarısını tutabilir. Bu genişlemenin yanı sıra, zig zag şekilli çizgiler ve geometrik figürler ortaya çıkabilirler. </w:t>
      </w:r>
      <w:r w:rsidRPr="00422C5D">
        <w:t xml:space="preserve">Bunun en yaygın ve klasik örneği fortifikasyon spektrumu olarak tarif edilen görsel </w:t>
      </w:r>
      <w:proofErr w:type="gramStart"/>
      <w:r w:rsidRPr="00422C5D">
        <w:t>fenomendir</w:t>
      </w:r>
      <w:proofErr w:type="gramEnd"/>
      <w:r w:rsidRPr="00422C5D">
        <w:t>.</w:t>
      </w:r>
      <w:r>
        <w:t xml:space="preserve"> Bazen orak şekilli ve ya C-şekilli periferik görme alanının kenarlarına doğru genişleyerek o alanda skotom veya görme kaybı oluşturabilir. Aura düzelmeye başladığı zaman görme alanının ilk kaybolduğu alanlar normale dönmeye başlar </w:t>
      </w:r>
      <w:r>
        <w:rPr>
          <w:noProof/>
        </w:rPr>
        <w:t>[19]</w:t>
      </w:r>
      <w:r>
        <w:t>.</w:t>
      </w:r>
    </w:p>
    <w:p w:rsidR="00E659A9" w:rsidRDefault="00E659A9" w:rsidP="00AA51A2">
      <w:pPr>
        <w:pStyle w:val="METN"/>
      </w:pPr>
      <w:r>
        <w:t xml:space="preserve">Duyusal auralar ise çoğu zaman ve tipik olarak görsel auradan birkaç dakika sonra ortaya çıkmaktadır. Bazen duyusal auraya herhangi görsel bulgular eşlik etmeyebilir. Genellikle duyusal aura hastanın yüzünün bir tarafı veya bir ekstremitesinde karıncalanma şeklinde başlar. Bu duyusal </w:t>
      </w:r>
      <w:proofErr w:type="gramStart"/>
      <w:r>
        <w:t>fenomen</w:t>
      </w:r>
      <w:proofErr w:type="gramEnd"/>
      <w:r>
        <w:t xml:space="preserve"> aşamalı olarak tüm vücuda yayılarak 1 saate kadar devam edebilir. Karıncalanma hissi ağzın içine yayılarak bukkal mukoza ve hatta dilin yarısını da tutabilir. Negatif </w:t>
      </w:r>
      <w:proofErr w:type="gramStart"/>
      <w:r>
        <w:t>semptomlar</w:t>
      </w:r>
      <w:proofErr w:type="gramEnd"/>
      <w:r>
        <w:t xml:space="preserve"> (skotoma veya uyuşma) sonrası pozitif semptomların (sintilasyon ve karıncalanma) ortaya çıkması migren aurası açısından karakteristik özelliktir. Bu klinik bulgular iskemik olaylar için karakter değildir </w:t>
      </w:r>
      <w:r>
        <w:rPr>
          <w:noProof/>
        </w:rPr>
        <w:t>[19]</w:t>
      </w:r>
      <w:r>
        <w:t>.</w:t>
      </w:r>
    </w:p>
    <w:p w:rsidR="00E659A9" w:rsidRDefault="00E659A9" w:rsidP="00AA51A2">
      <w:pPr>
        <w:pStyle w:val="METN"/>
        <w:rPr>
          <w:szCs w:val="24"/>
        </w:rPr>
      </w:pPr>
      <w:r>
        <w:rPr>
          <w:szCs w:val="24"/>
        </w:rPr>
        <w:t xml:space="preserve">Vizüel ve duyusal auraya oranla daha az rastlanan aura türü afazik auradır. Bu aura türü kişinin kelime bulmada zorlanmasından ağır parafazik hataların eşlik ettiği belirgin disfaziye kadar geniş spektrum şeklinde görülmektedir. Daha nadir görülen motor auralar bazen yüzün de dâhil olduğu vücudun bir yarısında olan güçsüzlük şeklinde episotlar olup  </w:t>
      </w:r>
      <w:r>
        <w:rPr>
          <w:noProof/>
          <w:szCs w:val="24"/>
        </w:rPr>
        <w:t>[19]</w:t>
      </w:r>
      <w:r>
        <w:rPr>
          <w:szCs w:val="24"/>
        </w:rPr>
        <w:t xml:space="preserve"> hemiplejik migren olarak adlandırılır. </w:t>
      </w:r>
      <w:r>
        <w:rPr>
          <w:noProof/>
          <w:szCs w:val="24"/>
        </w:rPr>
        <w:t>[12]</w:t>
      </w:r>
      <w:r>
        <w:rPr>
          <w:szCs w:val="24"/>
        </w:rPr>
        <w:t xml:space="preserve">. Aura </w:t>
      </w:r>
      <w:proofErr w:type="gramStart"/>
      <w:r>
        <w:rPr>
          <w:szCs w:val="24"/>
        </w:rPr>
        <w:t>semptomlarının</w:t>
      </w:r>
      <w:proofErr w:type="gramEnd"/>
      <w:r>
        <w:rPr>
          <w:szCs w:val="24"/>
        </w:rPr>
        <w:t xml:space="preserve"> hastalarda izole veya ardışık olarak ortaya ççıkması beklenmekte olup eşzamanlı gelişmesi tipik değildir.</w:t>
      </w:r>
    </w:p>
    <w:p w:rsidR="00E659A9" w:rsidRDefault="00E659A9" w:rsidP="00AA51A2">
      <w:pPr>
        <w:pStyle w:val="METN"/>
        <w:rPr>
          <w:szCs w:val="24"/>
        </w:rPr>
      </w:pPr>
      <w:r>
        <w:rPr>
          <w:szCs w:val="24"/>
        </w:rPr>
        <w:t xml:space="preserve">Aura bulgularının ortaya çıkma ve gelişme tarzı ayırıcı tanı açısından büyük öneme sahiptir. Bu tablolar özellikleGİA ve iskemik inme ile karışır. İskemik olaylarda ortaya çıkış akut olup, 5 dakikadan kısa sürede tablonun </w:t>
      </w:r>
      <w:r>
        <w:rPr>
          <w:szCs w:val="24"/>
        </w:rPr>
        <w:lastRenderedPageBreak/>
        <w:t xml:space="preserve">yerleşmesibeklenir. </w:t>
      </w:r>
      <w:proofErr w:type="gramStart"/>
      <w:r>
        <w:rPr>
          <w:szCs w:val="24"/>
        </w:rPr>
        <w:t>Oysa,</w:t>
      </w:r>
      <w:proofErr w:type="gramEnd"/>
      <w:r>
        <w:rPr>
          <w:szCs w:val="24"/>
        </w:rPr>
        <w:t xml:space="preserve"> auralı migrenlilerin sadece % 2’sinde aura semptomları 5 dakikadan daha kısa sürede gelişir </w:t>
      </w:r>
      <w:r>
        <w:rPr>
          <w:noProof/>
          <w:szCs w:val="24"/>
        </w:rPr>
        <w:t>[20]</w:t>
      </w:r>
      <w:r>
        <w:rPr>
          <w:szCs w:val="24"/>
        </w:rPr>
        <w:t>.</w:t>
      </w:r>
    </w:p>
    <w:p w:rsidR="00E659A9" w:rsidRDefault="00E659A9" w:rsidP="00AA51A2">
      <w:pPr>
        <w:pStyle w:val="METN"/>
      </w:pPr>
      <w:r>
        <w:t xml:space="preserve">Bazı hastalarda ise baş ağrısı olmadan sadece aura </w:t>
      </w:r>
      <w:proofErr w:type="gramStart"/>
      <w:r>
        <w:t>semptomları</w:t>
      </w:r>
      <w:proofErr w:type="gramEnd"/>
      <w:r>
        <w:t xml:space="preserve"> olabilir. Bu klinik antite asefaljik migren olarak da bilinmektedir. Özellikle yaşlı hastalarda bu semptomlar GİA veya iskemik inmeyle karışabilir </w:t>
      </w:r>
      <w:r>
        <w:rPr>
          <w:noProof/>
        </w:rPr>
        <w:t>[21]</w:t>
      </w:r>
      <w:r>
        <w:t xml:space="preserve">. Danimarka’da yapılmış olan çalışmada hastaların %38’de hem auralı, hem de asefaljik migren görülmüştür. Hastaların sadece %4’de ise izole olarak asefaljik migren izlenmiştir </w:t>
      </w:r>
      <w:r>
        <w:rPr>
          <w:noProof/>
        </w:rPr>
        <w:t>[20]</w:t>
      </w:r>
      <w:r>
        <w:t>.</w:t>
      </w:r>
    </w:p>
    <w:p w:rsidR="00E659A9" w:rsidRDefault="00E659A9" w:rsidP="00AA51A2">
      <w:pPr>
        <w:pStyle w:val="METN"/>
      </w:pPr>
      <w:r>
        <w:t xml:space="preserve">Migren baş ağrısı genellikle tek taraflı olup, zonklayıcı özelliktedir. Baş ağrısı atağı şiddeti artmaya başlayınca, bu bulgulara bulantı, bazen kusma da eşlik edebilir. Bazı hastalar ağrı sırasında fotofobi ve sonofobi tarif eder, o sırada sakin ve karanlık odada yatmayı tercih edebilirler. Hastalarda beraberinde osmofobi ve kutaneöz allodini de görülebilir. Erişkinlerde birçok atak tedavi edilmeden izlenirse birkaç saat, bazen birkaç güne kadar devam eder. Bu atakların bir kısmı uykuyla geçer </w:t>
      </w:r>
      <w:r>
        <w:rPr>
          <w:noProof/>
        </w:rPr>
        <w:t>[13, 22]</w:t>
      </w:r>
      <w:r>
        <w:t>.</w:t>
      </w:r>
    </w:p>
    <w:p w:rsidR="00E659A9" w:rsidRDefault="00E659A9" w:rsidP="00AA51A2">
      <w:pPr>
        <w:pStyle w:val="METN"/>
      </w:pPr>
      <w:r>
        <w:t xml:space="preserve">Baş ağrısı geçtikten sonra hastaların bir kısmında postdromal döneme geçilir. Postdromal dönem bulguları genellikle, baş ağrısının olduğu kısımda ani hareketle tetiklenen geçici ağrı, tükenme hissi veya öfori gibi davranışları içerir </w:t>
      </w:r>
      <w:r>
        <w:rPr>
          <w:noProof/>
        </w:rPr>
        <w:t>[16, 23, 24]</w:t>
      </w:r>
      <w:r>
        <w:t>.</w:t>
      </w:r>
    </w:p>
    <w:p w:rsidR="00E659A9" w:rsidRDefault="00E659A9" w:rsidP="00AA51A2">
      <w:pPr>
        <w:pStyle w:val="METN"/>
      </w:pPr>
      <w:r>
        <w:t>Migrenin farklı tetikleyicilerinin olduğu gösterilmiştir. Yapılmış farklı çalışmalarda stress, mensturasyon, görsel uyaranlar, nitratlar, açlık ve şarap “</w:t>
      </w:r>
      <w:r w:rsidRPr="006830F3">
        <w:rPr>
          <w:i/>
          <w:u w:val="single"/>
        </w:rPr>
        <w:t>probable</w:t>
      </w:r>
      <w:r>
        <w:rPr>
          <w:i/>
          <w:u w:val="single"/>
        </w:rPr>
        <w:t xml:space="preserve"> (olası)” </w:t>
      </w:r>
      <w:r>
        <w:t>uyaranlar olduğu gösterilmiştir. Uyku bozuklukları ve aspartam ise “</w:t>
      </w:r>
      <w:r w:rsidRPr="006830F3">
        <w:rPr>
          <w:i/>
          <w:u w:val="single"/>
        </w:rPr>
        <w:t>possible</w:t>
      </w:r>
      <w:r>
        <w:t xml:space="preserve"> (muhtemel)” tetikleyiciler arasındadır. Aspartam dışında diğer etkenler diğer tüm baş ağrıları açısından tetikleyici olarak kabul edilmektedirler. Sigara, kokular, çikolata ve tiramin migrenin kanıtlanmamış tetikleyicileridirler </w:t>
      </w:r>
      <w:r>
        <w:rPr>
          <w:noProof/>
        </w:rPr>
        <w:t>[25]</w:t>
      </w:r>
      <w:r>
        <w:t xml:space="preserve">. </w:t>
      </w:r>
    </w:p>
    <w:p w:rsidR="00E659A9" w:rsidRPr="00461F9A" w:rsidRDefault="00AA51A2" w:rsidP="00AA51A2">
      <w:pPr>
        <w:pStyle w:val="Balk2"/>
      </w:pPr>
      <w:bookmarkStart w:id="11" w:name="_Toc492677330"/>
      <w:r>
        <w:t xml:space="preserve">1.4. </w:t>
      </w:r>
      <w:r w:rsidR="00E659A9" w:rsidRPr="00461F9A">
        <w:t>Migrenin subtipleri</w:t>
      </w:r>
      <w:bookmarkEnd w:id="11"/>
    </w:p>
    <w:p w:rsidR="00E659A9" w:rsidRDefault="00E659A9" w:rsidP="00461F9A">
      <w:pPr>
        <w:spacing w:line="360" w:lineRule="auto"/>
        <w:ind w:firstLine="567"/>
        <w:jc w:val="both"/>
        <w:rPr>
          <w:rFonts w:ascii="Arial" w:hAnsi="Arial" w:cs="Arial"/>
          <w:sz w:val="24"/>
          <w:szCs w:val="24"/>
        </w:rPr>
      </w:pPr>
      <w:r>
        <w:rPr>
          <w:rFonts w:ascii="Arial" w:hAnsi="Arial" w:cs="Arial"/>
          <w:sz w:val="24"/>
          <w:szCs w:val="24"/>
        </w:rPr>
        <w:t xml:space="preserve">Literatürdeki vaka raporlarında farklı nörolojik bulguların görüldüğü tablolar migrenle ilişkilendirilmeye çalıştırılmış veya migren varyantları olarak gösterilmiştir. Net olarak belirlenmiş migren subtipleri beyinsapı auralı migren, </w:t>
      </w:r>
      <w:r>
        <w:rPr>
          <w:rFonts w:ascii="Arial" w:hAnsi="Arial" w:cs="Arial"/>
          <w:sz w:val="24"/>
          <w:szCs w:val="24"/>
        </w:rPr>
        <w:lastRenderedPageBreak/>
        <w:t xml:space="preserve">hemiplejik migren, retinal migren, vestibüler migren, menstrüel migren ve kronik migrendir </w:t>
      </w:r>
      <w:r>
        <w:rPr>
          <w:rFonts w:ascii="Arial" w:hAnsi="Arial" w:cs="Arial"/>
          <w:noProof/>
          <w:sz w:val="24"/>
          <w:szCs w:val="24"/>
        </w:rPr>
        <w:t>[12]</w:t>
      </w:r>
      <w:r>
        <w:rPr>
          <w:rFonts w:ascii="Arial" w:hAnsi="Arial" w:cs="Arial"/>
          <w:sz w:val="24"/>
          <w:szCs w:val="24"/>
        </w:rPr>
        <w:t>.</w:t>
      </w:r>
    </w:p>
    <w:p w:rsidR="00E659A9" w:rsidRDefault="00E659A9" w:rsidP="00AA51A2">
      <w:pPr>
        <w:pStyle w:val="METN"/>
      </w:pPr>
      <w:r>
        <w:t xml:space="preserve">Retinal migren nadir görülen tablodur. Bu zaman 1 saatten kısa süren monooküler skotom veya görme kaybı şeklinde bulgular görülür. Bu bulgular sırasında ve sonrasında hastalarda migren baş ağrısı görülür. Uluslararası Başağrısı Derneğinin yapmış olduğu son sınıflamada retinal migren terimi tercih edilse de </w:t>
      </w:r>
      <w:r>
        <w:rPr>
          <w:noProof/>
        </w:rPr>
        <w:t>[12]</w:t>
      </w:r>
      <w:r>
        <w:t xml:space="preserve">, patofizyolojisinde retinal sirkülasyonun yanı sıra siliyer sirkülasyon da rol oynadığı için oküler migren terimi daha uygundur </w:t>
      </w:r>
      <w:r>
        <w:rPr>
          <w:noProof/>
        </w:rPr>
        <w:t>[26]</w:t>
      </w:r>
      <w:r>
        <w:t xml:space="preserve">. Semptomlar akut olarak ortaya çıktıkları için amaurosis fugax tablosu ile karıştırılabilir </w:t>
      </w:r>
      <w:r>
        <w:rPr>
          <w:noProof/>
        </w:rPr>
        <w:t>[27]</w:t>
      </w:r>
      <w:r>
        <w:t>.</w:t>
      </w:r>
    </w:p>
    <w:p w:rsidR="00E659A9" w:rsidRDefault="00E659A9" w:rsidP="00AA51A2">
      <w:pPr>
        <w:pStyle w:val="METN"/>
      </w:pPr>
      <w:r>
        <w:t xml:space="preserve">Beyin sapı auralı migren tablosundaki hastalarda beyin sapı kaynaklı </w:t>
      </w:r>
      <w:proofErr w:type="gramStart"/>
      <w:r>
        <w:t>semptom</w:t>
      </w:r>
      <w:proofErr w:type="gramEnd"/>
      <w:r>
        <w:t xml:space="preserve"> ve bulgular izlenir. Bu hastalarda motor </w:t>
      </w:r>
      <w:proofErr w:type="gramStart"/>
      <w:r>
        <w:t>semptom</w:t>
      </w:r>
      <w:proofErr w:type="gramEnd"/>
      <w:r>
        <w:t xml:space="preserve"> görülmez. İlk kez 1961 yılında Bickerstaff tarafından ayrı bir klinik antite olarak tanımlanmıştır </w:t>
      </w:r>
      <w:r>
        <w:rPr>
          <w:noProof/>
        </w:rPr>
        <w:t>[28]</w:t>
      </w:r>
      <w:r>
        <w:t xml:space="preserve">. Bundan sonra “Bickerstaff </w:t>
      </w:r>
      <w:proofErr w:type="gramStart"/>
      <w:r>
        <w:t>sendromu</w:t>
      </w:r>
      <w:proofErr w:type="gramEnd"/>
      <w:r>
        <w:t xml:space="preserve">”, “baziler arter migreni” , “baziler migren”  olarak isimlendirilse de, günümüzde beyin sapı auralı migren terimi kullanılmaktadır </w:t>
      </w:r>
      <w:r>
        <w:rPr>
          <w:noProof/>
        </w:rPr>
        <w:t>[12]</w:t>
      </w:r>
      <w:r>
        <w:t xml:space="preserve">. Herhangi yaşta görülebilen bu klinik </w:t>
      </w:r>
      <w:proofErr w:type="gramStart"/>
      <w:r>
        <w:t>tablodakadın:erkek</w:t>
      </w:r>
      <w:proofErr w:type="gramEnd"/>
      <w:r>
        <w:t xml:space="preserve"> oranı 1,3:1’den 3,8:1’e kadar değişmektedir </w:t>
      </w:r>
      <w:r>
        <w:rPr>
          <w:noProof/>
        </w:rPr>
        <w:t>[29-31]</w:t>
      </w:r>
      <w:r>
        <w:t xml:space="preserve">. Hastalık en sık 7-20 yaşlar arasında ortaya çıkmakta olup ailede migren öyküsü sıktır (%86’ya kadar)  </w:t>
      </w:r>
      <w:r>
        <w:rPr>
          <w:noProof/>
        </w:rPr>
        <w:t>[28, 30]</w:t>
      </w:r>
      <w:r>
        <w:t xml:space="preserve">. Danimarka’da yapılmış toplum </w:t>
      </w:r>
      <w:proofErr w:type="gramStart"/>
      <w:r>
        <w:t>bazlı</w:t>
      </w:r>
      <w:proofErr w:type="gramEnd"/>
      <w:r>
        <w:t xml:space="preserve"> auralı migren çalışmasında 362 hastanın %10’unda beyin sapı auralı migren saptanmıştır. Bu kişilerde migrenin başlangıç yaşı 14-17 arasında değişmektedir </w:t>
      </w:r>
      <w:r>
        <w:rPr>
          <w:noProof/>
        </w:rPr>
        <w:t>[29]</w:t>
      </w:r>
      <w:r>
        <w:t xml:space="preserve">. Diğer bir vaka serisinde 49 hastada (32 kadın, 17 erkek) beyin sapı auralı migrenin başlangıç yaşının 10-62 arası değiştiği ve yaklaşık % 65’de ilk atağının 3. dekatta çıktığı saptanmıştır. Bu atakların %77’sinde bilinç kaybı izlenmiştir. Hastaların ailelerinde %73migren %12 epilepsi öyküsü olduğu belirlenmiştir </w:t>
      </w:r>
      <w:r>
        <w:rPr>
          <w:noProof/>
        </w:rPr>
        <w:t>[31]</w:t>
      </w:r>
      <w:r>
        <w:t>.</w:t>
      </w:r>
    </w:p>
    <w:p w:rsidR="00E659A9" w:rsidRDefault="00E659A9" w:rsidP="00AA51A2">
      <w:pPr>
        <w:pStyle w:val="METN"/>
      </w:pPr>
      <w:r>
        <w:t>İlk kez Bickerstaff’ın 34 hastalık vaka serisinde (26 kadın, 8 erkek)</w:t>
      </w:r>
      <w:r w:rsidRPr="00052C7D">
        <w:t xml:space="preserve"> </w:t>
      </w:r>
      <w:r>
        <w:rPr>
          <w:noProof/>
        </w:rPr>
        <w:t>[28]</w:t>
      </w:r>
      <w:r>
        <w:t xml:space="preserve">, 2-45 dakika arası süren, unilateral veya bilateral hemianopsi, vertigo, ataksi, dizartri, bilateral uyuşma ve karıncalanma şeklinde </w:t>
      </w:r>
      <w:proofErr w:type="gramStart"/>
      <w:r>
        <w:t>semptomlar</w:t>
      </w:r>
      <w:proofErr w:type="gramEnd"/>
      <w:r>
        <w:t xml:space="preserve"> rapor edilmiştir. Bu hastalarda aura sonrası oksipital alanda baş ağrısı ve bulantı hissi görülmüştür. Ayrıca, yaklaşık %25’inde 2-30 dakika arasıda bilinç kaybı saptanmıştır </w:t>
      </w:r>
      <w:r>
        <w:rPr>
          <w:noProof/>
        </w:rPr>
        <w:t>[32]</w:t>
      </w:r>
      <w:r>
        <w:t xml:space="preserve">. Danimarka’da yapılmış toplum </w:t>
      </w:r>
      <w:proofErr w:type="gramStart"/>
      <w:r>
        <w:t>bazlı</w:t>
      </w:r>
      <w:proofErr w:type="gramEnd"/>
      <w:r>
        <w:t xml:space="preserve"> bir çalışmada incelenen </w:t>
      </w:r>
      <w:r>
        <w:lastRenderedPageBreak/>
        <w:t>38 hastada vertigo (%61), dizartri (%53), tinnitus (%45), diplopi (%45), bilateral görsel semptomlar (%40), bilateral paresteziler (%24), azalmış bilinç durumu (%24) ve hipoakuzi (%21) yakınması saptanmıştır. Hastaların tamamına yakınında görsel aura bulguları olduğu belirlenmiştir Diğer aura bulguları afazi (%40), unilateral duysal bulgular (%37) dir</w:t>
      </w:r>
      <w:proofErr w:type="gramStart"/>
      <w:r>
        <w:t>..</w:t>
      </w:r>
      <w:proofErr w:type="gramEnd"/>
      <w:r>
        <w:t xml:space="preserve"> Aura </w:t>
      </w:r>
      <w:proofErr w:type="gramStart"/>
      <w:r>
        <w:t>semptomlarına</w:t>
      </w:r>
      <w:proofErr w:type="gramEnd"/>
      <w:r>
        <w:t xml:space="preserve"> her zaman baş ağrısının eşlik etmei %74 olarak tespit edilmiştir </w:t>
      </w:r>
      <w:r>
        <w:rPr>
          <w:noProof/>
        </w:rPr>
        <w:t>[29]</w:t>
      </w:r>
      <w:r>
        <w:t xml:space="preserve">. </w:t>
      </w:r>
    </w:p>
    <w:p w:rsidR="00E659A9" w:rsidRDefault="00E659A9" w:rsidP="00461F9A">
      <w:pPr>
        <w:spacing w:line="360" w:lineRule="auto"/>
        <w:ind w:firstLine="567"/>
        <w:jc w:val="both"/>
        <w:rPr>
          <w:rFonts w:ascii="Arial" w:hAnsi="Arial" w:cs="Arial"/>
          <w:sz w:val="24"/>
          <w:szCs w:val="24"/>
        </w:rPr>
      </w:pPr>
      <w:r>
        <w:rPr>
          <w:rFonts w:ascii="Arial" w:hAnsi="Arial" w:cs="Arial"/>
          <w:sz w:val="24"/>
          <w:szCs w:val="24"/>
        </w:rPr>
        <w:t xml:space="preserve">Beyin sapı auralı migrenli hastaların tanısı klinik olarak öykü, muayene bulguları ve normal görüntüleme bulguları (beyin MR ve beyin MR anjiografi) sonrası konulur. </w:t>
      </w:r>
    </w:p>
    <w:p w:rsidR="00E659A9" w:rsidRDefault="00E659A9" w:rsidP="00461F9A">
      <w:pPr>
        <w:spacing w:line="360" w:lineRule="auto"/>
        <w:ind w:firstLine="567"/>
        <w:jc w:val="both"/>
        <w:rPr>
          <w:rFonts w:ascii="Arial" w:hAnsi="Arial" w:cs="Arial"/>
          <w:sz w:val="24"/>
          <w:szCs w:val="24"/>
        </w:rPr>
      </w:pPr>
      <w:r>
        <w:rPr>
          <w:rFonts w:ascii="Arial" w:hAnsi="Arial" w:cs="Arial"/>
          <w:sz w:val="24"/>
          <w:szCs w:val="24"/>
        </w:rPr>
        <w:t xml:space="preserve">ICH-3 beta kriterlerinde beyin sapı auralı migren tanısı için tanı kriterleri aşağıdaki verilmiştir </w:t>
      </w:r>
      <w:r>
        <w:rPr>
          <w:rFonts w:ascii="Arial" w:hAnsi="Arial" w:cs="Arial"/>
          <w:noProof/>
          <w:sz w:val="24"/>
          <w:szCs w:val="24"/>
        </w:rPr>
        <w:t>[12]</w:t>
      </w:r>
      <w:r>
        <w:rPr>
          <w:rFonts w:ascii="Arial" w:hAnsi="Arial" w:cs="Arial"/>
          <w:sz w:val="24"/>
          <w:szCs w:val="24"/>
        </w:rPr>
        <w:t>:</w:t>
      </w:r>
    </w:p>
    <w:p w:rsidR="00E659A9" w:rsidRPr="00AC0A5B" w:rsidRDefault="00E659A9" w:rsidP="00AA51A2">
      <w:pPr>
        <w:pStyle w:val="ListeParagraf"/>
        <w:numPr>
          <w:ilvl w:val="0"/>
          <w:numId w:val="11"/>
        </w:numPr>
        <w:spacing w:line="360" w:lineRule="auto"/>
        <w:ind w:left="1134" w:hanging="567"/>
        <w:jc w:val="both"/>
        <w:rPr>
          <w:rFonts w:ascii="Arial" w:hAnsi="Arial" w:cs="Arial"/>
          <w:sz w:val="24"/>
          <w:szCs w:val="24"/>
        </w:rPr>
      </w:pPr>
      <w:r>
        <w:rPr>
          <w:rFonts w:ascii="Arial" w:hAnsi="Arial" w:cs="Arial"/>
          <w:sz w:val="24"/>
          <w:szCs w:val="24"/>
        </w:rPr>
        <w:t>Geçmişte, B-D</w:t>
      </w:r>
      <w:r w:rsidRPr="00AC0A5B">
        <w:rPr>
          <w:rFonts w:ascii="Arial" w:hAnsi="Arial" w:cs="Arial"/>
          <w:sz w:val="24"/>
          <w:szCs w:val="24"/>
        </w:rPr>
        <w:t xml:space="preserve"> </w:t>
      </w:r>
      <w:proofErr w:type="gramStart"/>
      <w:r w:rsidRPr="00AC0A5B">
        <w:rPr>
          <w:rFonts w:ascii="Arial" w:hAnsi="Arial" w:cs="Arial"/>
          <w:sz w:val="24"/>
          <w:szCs w:val="24"/>
        </w:rPr>
        <w:t>kriterlerini</w:t>
      </w:r>
      <w:proofErr w:type="gramEnd"/>
      <w:r w:rsidRPr="00AC0A5B">
        <w:rPr>
          <w:rFonts w:ascii="Arial" w:hAnsi="Arial" w:cs="Arial"/>
          <w:sz w:val="24"/>
          <w:szCs w:val="24"/>
        </w:rPr>
        <w:t xml:space="preserve"> dolduran en az 2 atak geçirmiş olmak</w:t>
      </w:r>
      <w:r>
        <w:rPr>
          <w:rFonts w:ascii="Arial" w:hAnsi="Arial" w:cs="Arial"/>
          <w:sz w:val="24"/>
          <w:szCs w:val="24"/>
        </w:rPr>
        <w:t>,</w:t>
      </w:r>
    </w:p>
    <w:p w:rsidR="00E659A9" w:rsidRDefault="00E659A9" w:rsidP="00AA51A2">
      <w:pPr>
        <w:pStyle w:val="ListeParagraf"/>
        <w:numPr>
          <w:ilvl w:val="0"/>
          <w:numId w:val="11"/>
        </w:numPr>
        <w:spacing w:line="360" w:lineRule="auto"/>
        <w:ind w:left="1134" w:hanging="567"/>
        <w:jc w:val="both"/>
        <w:rPr>
          <w:rFonts w:ascii="Arial" w:hAnsi="Arial" w:cs="Arial"/>
          <w:sz w:val="24"/>
          <w:szCs w:val="24"/>
        </w:rPr>
      </w:pPr>
      <w:r>
        <w:rPr>
          <w:rFonts w:ascii="Arial" w:hAnsi="Arial" w:cs="Arial"/>
          <w:sz w:val="24"/>
          <w:szCs w:val="24"/>
        </w:rPr>
        <w:t>Tamamen geri dönüşümlü görsel, duyusal ve / veya konuşma bozukluğunun olması ama motor veya retinal semptomların olmaması,</w:t>
      </w:r>
    </w:p>
    <w:p w:rsidR="00E659A9" w:rsidRDefault="00E659A9" w:rsidP="00AA51A2">
      <w:pPr>
        <w:pStyle w:val="ListeParagraf"/>
        <w:numPr>
          <w:ilvl w:val="0"/>
          <w:numId w:val="11"/>
        </w:numPr>
        <w:spacing w:line="360" w:lineRule="auto"/>
        <w:ind w:left="1134" w:hanging="567"/>
        <w:jc w:val="both"/>
        <w:rPr>
          <w:rFonts w:ascii="Arial" w:hAnsi="Arial" w:cs="Arial"/>
          <w:sz w:val="24"/>
          <w:szCs w:val="24"/>
        </w:rPr>
      </w:pPr>
      <w:r>
        <w:rPr>
          <w:rFonts w:ascii="Arial" w:hAnsi="Arial" w:cs="Arial"/>
          <w:sz w:val="24"/>
          <w:szCs w:val="24"/>
        </w:rPr>
        <w:t>Aşağıdaki aura semptomlarından en az 2 veya daha fazlasını içermesi :</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Dizartri</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Vertigo</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Tinnitus</w:t>
      </w:r>
    </w:p>
    <w:p w:rsidR="00E659A9" w:rsidRPr="00E37D6C"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Hipoakuzi</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Diplopi</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Ataksi</w:t>
      </w:r>
    </w:p>
    <w:p w:rsidR="00E659A9" w:rsidRDefault="00E659A9" w:rsidP="00AA51A2">
      <w:pPr>
        <w:pStyle w:val="ListeParagraf"/>
        <w:numPr>
          <w:ilvl w:val="0"/>
          <w:numId w:val="12"/>
        </w:numPr>
        <w:spacing w:line="360" w:lineRule="auto"/>
        <w:ind w:left="0" w:firstLine="1134"/>
        <w:jc w:val="both"/>
        <w:rPr>
          <w:rFonts w:ascii="Arial" w:hAnsi="Arial" w:cs="Arial"/>
          <w:sz w:val="24"/>
          <w:szCs w:val="24"/>
        </w:rPr>
      </w:pPr>
      <w:r>
        <w:rPr>
          <w:rFonts w:ascii="Arial" w:hAnsi="Arial" w:cs="Arial"/>
          <w:sz w:val="24"/>
          <w:szCs w:val="24"/>
        </w:rPr>
        <w:t>Gerilemiş bilinç durumu</w:t>
      </w:r>
    </w:p>
    <w:p w:rsidR="00E659A9" w:rsidRDefault="00E659A9" w:rsidP="00AA51A2">
      <w:pPr>
        <w:pStyle w:val="ListeParagraf"/>
        <w:numPr>
          <w:ilvl w:val="0"/>
          <w:numId w:val="11"/>
        </w:numPr>
        <w:spacing w:line="360" w:lineRule="auto"/>
        <w:ind w:left="1134" w:hanging="567"/>
        <w:jc w:val="both"/>
        <w:rPr>
          <w:rFonts w:ascii="Arial" w:hAnsi="Arial" w:cs="Arial"/>
          <w:sz w:val="24"/>
          <w:szCs w:val="24"/>
        </w:rPr>
      </w:pPr>
      <w:r w:rsidRPr="00930217">
        <w:rPr>
          <w:rFonts w:ascii="Arial" w:hAnsi="Arial" w:cs="Arial"/>
          <w:sz w:val="24"/>
          <w:szCs w:val="24"/>
        </w:rPr>
        <w:t>Aşağıda</w:t>
      </w:r>
      <w:r>
        <w:rPr>
          <w:rFonts w:ascii="Arial" w:hAnsi="Arial" w:cs="Arial"/>
          <w:sz w:val="24"/>
          <w:szCs w:val="24"/>
        </w:rPr>
        <w:t>ki özelliklerden en az 2 ve fazlasını içermesi:</w:t>
      </w:r>
    </w:p>
    <w:p w:rsidR="00E659A9" w:rsidRDefault="00E659A9" w:rsidP="00AA51A2">
      <w:pPr>
        <w:pStyle w:val="ListeParagraf"/>
        <w:numPr>
          <w:ilvl w:val="0"/>
          <w:numId w:val="13"/>
        </w:numPr>
        <w:spacing w:line="360" w:lineRule="auto"/>
        <w:ind w:left="1560" w:hanging="426"/>
        <w:jc w:val="both"/>
        <w:rPr>
          <w:rFonts w:ascii="Arial" w:hAnsi="Arial" w:cs="Arial"/>
          <w:sz w:val="24"/>
          <w:szCs w:val="24"/>
        </w:rPr>
      </w:pPr>
      <w:r>
        <w:rPr>
          <w:rFonts w:ascii="Arial" w:hAnsi="Arial" w:cs="Arial"/>
          <w:sz w:val="24"/>
          <w:szCs w:val="24"/>
        </w:rPr>
        <w:t xml:space="preserve">En az 1 aura </w:t>
      </w:r>
      <w:proofErr w:type="gramStart"/>
      <w:r>
        <w:rPr>
          <w:rFonts w:ascii="Arial" w:hAnsi="Arial" w:cs="Arial"/>
          <w:sz w:val="24"/>
          <w:szCs w:val="24"/>
        </w:rPr>
        <w:t>semptomunun</w:t>
      </w:r>
      <w:proofErr w:type="gramEnd"/>
      <w:r>
        <w:rPr>
          <w:rFonts w:ascii="Arial" w:hAnsi="Arial" w:cs="Arial"/>
          <w:sz w:val="24"/>
          <w:szCs w:val="24"/>
        </w:rPr>
        <w:t xml:space="preserve"> 5 dakika ve üzerinde gelişerek yayılması ve / veya izlemde 2 veya üzerinde semptomun oluşması,</w:t>
      </w:r>
    </w:p>
    <w:p w:rsidR="00E659A9" w:rsidRDefault="00E659A9" w:rsidP="00AA51A2">
      <w:pPr>
        <w:pStyle w:val="ListeParagraf"/>
        <w:numPr>
          <w:ilvl w:val="0"/>
          <w:numId w:val="13"/>
        </w:numPr>
        <w:spacing w:line="360" w:lineRule="auto"/>
        <w:ind w:left="1560" w:hanging="426"/>
        <w:jc w:val="both"/>
        <w:rPr>
          <w:rFonts w:ascii="Arial" w:hAnsi="Arial" w:cs="Arial"/>
          <w:sz w:val="24"/>
          <w:szCs w:val="24"/>
        </w:rPr>
      </w:pPr>
      <w:r>
        <w:rPr>
          <w:rFonts w:ascii="Arial" w:hAnsi="Arial" w:cs="Arial"/>
          <w:sz w:val="24"/>
          <w:szCs w:val="24"/>
        </w:rPr>
        <w:t>Söz konusu semptomun 5 ile 60 dakika arasında sürmesi,</w:t>
      </w:r>
    </w:p>
    <w:p w:rsidR="00E659A9" w:rsidRDefault="00E659A9" w:rsidP="00AA51A2">
      <w:pPr>
        <w:pStyle w:val="ListeParagraf"/>
        <w:numPr>
          <w:ilvl w:val="0"/>
          <w:numId w:val="13"/>
        </w:numPr>
        <w:spacing w:line="360" w:lineRule="auto"/>
        <w:ind w:left="1560" w:hanging="426"/>
        <w:jc w:val="both"/>
        <w:rPr>
          <w:rFonts w:ascii="Arial" w:hAnsi="Arial" w:cs="Arial"/>
          <w:sz w:val="24"/>
          <w:szCs w:val="24"/>
        </w:rPr>
      </w:pPr>
      <w:r>
        <w:rPr>
          <w:rFonts w:ascii="Arial" w:hAnsi="Arial" w:cs="Arial"/>
          <w:sz w:val="24"/>
          <w:szCs w:val="24"/>
        </w:rPr>
        <w:t>En az 1 aura semptomunun unilateral olması,</w:t>
      </w:r>
    </w:p>
    <w:p w:rsidR="00E659A9" w:rsidRDefault="00E659A9" w:rsidP="00AA51A2">
      <w:pPr>
        <w:pStyle w:val="ListeParagraf"/>
        <w:numPr>
          <w:ilvl w:val="0"/>
          <w:numId w:val="13"/>
        </w:numPr>
        <w:spacing w:line="360" w:lineRule="auto"/>
        <w:ind w:left="1560" w:hanging="426"/>
        <w:jc w:val="both"/>
        <w:rPr>
          <w:rFonts w:ascii="Arial" w:hAnsi="Arial" w:cs="Arial"/>
          <w:sz w:val="24"/>
          <w:szCs w:val="24"/>
        </w:rPr>
      </w:pPr>
      <w:r>
        <w:rPr>
          <w:rFonts w:ascii="Arial" w:hAnsi="Arial" w:cs="Arial"/>
          <w:sz w:val="24"/>
          <w:szCs w:val="24"/>
        </w:rPr>
        <w:lastRenderedPageBreak/>
        <w:t>Başağrının auraya eşlik etmesi ve izleyen 60 dakika içinde ortaya çıkması.</w:t>
      </w:r>
    </w:p>
    <w:p w:rsidR="00E659A9" w:rsidRDefault="00E659A9" w:rsidP="00AA51A2">
      <w:pPr>
        <w:pStyle w:val="ListeParagraf"/>
        <w:numPr>
          <w:ilvl w:val="0"/>
          <w:numId w:val="11"/>
        </w:numPr>
        <w:spacing w:line="360" w:lineRule="auto"/>
        <w:ind w:left="1276" w:hanging="567"/>
        <w:jc w:val="both"/>
        <w:rPr>
          <w:rFonts w:ascii="Arial" w:hAnsi="Arial" w:cs="Arial"/>
          <w:sz w:val="24"/>
          <w:szCs w:val="24"/>
        </w:rPr>
      </w:pPr>
      <w:r>
        <w:rPr>
          <w:rFonts w:ascii="Arial" w:hAnsi="Arial" w:cs="Arial"/>
          <w:sz w:val="24"/>
          <w:szCs w:val="24"/>
        </w:rPr>
        <w:t>ICHD-3 sınıflamasındaki diğer tanılara uymaması ve GİA tanısının ekartasyonu.</w:t>
      </w:r>
    </w:p>
    <w:p w:rsidR="00E659A9" w:rsidRDefault="00E659A9" w:rsidP="00AA51A2">
      <w:pPr>
        <w:pStyle w:val="METN"/>
      </w:pPr>
      <w:r>
        <w:t xml:space="preserve">Hemiplejik migren ise, baş ağrısına eşlik eden veya öncesinde bulunan unilateral güçsüzlüğün olduğu migren türüdür. Hemiplejik migren nadir bir hastalık olup, Danimarka’da yapılmış toplum bazlı çalışmada prevalansının % 0,01 olduğu tespit edilmiştir </w:t>
      </w:r>
      <w:r>
        <w:rPr>
          <w:noProof/>
        </w:rPr>
        <w:t>[33]</w:t>
      </w:r>
      <w:r>
        <w:t xml:space="preserve">. Familyal ve sporadik varyantların benzer prevalansı olup, ortalama başlangıç yaşının 12-17 arasında olduğu saptanmıştır </w:t>
      </w:r>
      <w:r>
        <w:rPr>
          <w:noProof/>
        </w:rPr>
        <w:t>[34]</w:t>
      </w:r>
      <w:r>
        <w:t>. Tüm diğer migren formlarında olduğu gibi hemiplejik migren de kadınlarda daha sık olup, kadın/erkek oranı 2,5:1-4,3:1 arasındadır.</w:t>
      </w:r>
      <w:r w:rsidDel="00094D6C">
        <w:t xml:space="preserve"> </w:t>
      </w:r>
      <w:r>
        <w:t xml:space="preserve"> </w:t>
      </w:r>
      <w:r>
        <w:rPr>
          <w:noProof/>
        </w:rPr>
        <w:t>[34, 35]</w:t>
      </w:r>
      <w:r>
        <w:t xml:space="preserve">. Hemiplejik migren ailevi ve sporadik olarak ikiye ayrılmaktadır. Klinik olarak aralarında fark olmayan bu tablolar sırasında görsel, duyusal ve konuşma ile ilişkili aura semptomları da tabloya eşlik edebilir </w:t>
      </w:r>
      <w:r>
        <w:rPr>
          <w:noProof/>
        </w:rPr>
        <w:t>[36]</w:t>
      </w:r>
      <w:r>
        <w:t xml:space="preserve">.  Motor bulguların ağırlığı değişkendir </w:t>
      </w:r>
      <w:r>
        <w:rPr>
          <w:noProof/>
        </w:rPr>
        <w:t>[37, 38]</w:t>
      </w:r>
      <w:r>
        <w:t xml:space="preserve">. Bazı vakalarda aura bulguları akut (5 dakikanın altında) şekilde gelişip inmeyi taklit edebilir </w:t>
      </w:r>
      <w:r>
        <w:rPr>
          <w:noProof/>
        </w:rPr>
        <w:t>[34, 35]</w:t>
      </w:r>
      <w:r>
        <w:t xml:space="preserve">. Yapılan çalışmalarda, hemiplejik migren hastalarının % 41-58’e kadarında auranın 60 dakikanın, % 2-8’de ise 24 saatin üzerinde sürdüğü gözlemlenmiştir </w:t>
      </w:r>
      <w:r>
        <w:rPr>
          <w:noProof/>
        </w:rPr>
        <w:t>[34, 35, 37]</w:t>
      </w:r>
      <w:r>
        <w:t xml:space="preserve">. Nadiren aura bulguları 4 haftanın üzerinde sürebilir. </w:t>
      </w:r>
      <w:r>
        <w:rPr>
          <w:noProof/>
        </w:rPr>
        <w:t>[38]</w:t>
      </w:r>
      <w:r>
        <w:t xml:space="preserve">. Bu hastalarda her atağa baş ağrısı eşlik etmiş olup, klasik migren baş ağrısı özelliğindedir </w:t>
      </w:r>
      <w:r>
        <w:rPr>
          <w:noProof/>
        </w:rPr>
        <w:t>[34, 35]</w:t>
      </w:r>
      <w:r>
        <w:t xml:space="preserve">. Şiddetli atak zamanı ateş, nöbet, meningeal bulgular, beyin omurilik (BOS) pleositozu, beyin ödemi veya beyin enfarktı görülebilir </w:t>
      </w:r>
      <w:r>
        <w:rPr>
          <w:noProof/>
        </w:rPr>
        <w:t>[38]</w:t>
      </w:r>
      <w:r>
        <w:t xml:space="preserve">. Yıllık ortalama atak sayısı 3 olup, ömür boyu birkaç ataktan 250’e kadar atak görülebilir </w:t>
      </w:r>
      <w:r>
        <w:rPr>
          <w:noProof/>
        </w:rPr>
        <w:t>[39]</w:t>
      </w:r>
      <w:r>
        <w:t xml:space="preserve">. Birçok hastada atak sıklığı 50 yaştan itibaren azalmakta olup, zamanla hemiparezinin eşlik etmediği auralı migren şeklinde klinik gidişata sahip olmaktadır </w:t>
      </w:r>
      <w:r>
        <w:rPr>
          <w:noProof/>
        </w:rPr>
        <w:t>[38, 40]</w:t>
      </w:r>
      <w:r>
        <w:t>. Birçok hastada tetikleyici bulunmamakla beraber, akut stres, parlak ışık, ağır emosyonel değişiklikler, uyku düzensizliği,kafa travmasıve serebral anjiografinin  atakları tetikleyebileceği rapor edilmiştir [</w:t>
      </w:r>
      <w:r>
        <w:rPr>
          <w:noProof/>
        </w:rPr>
        <w:t>42].</w:t>
      </w:r>
      <w:r>
        <w:t xml:space="preserve">. Ataksırasında yapılan nörolojik muayenede ekstansör plantar yanıt ve unilateral hiperrefleksi görülebilir </w:t>
      </w:r>
      <w:r>
        <w:rPr>
          <w:noProof/>
        </w:rPr>
        <w:t>[40]</w:t>
      </w:r>
      <w:r>
        <w:t xml:space="preserve">. Hemiplejik migrenin ICHD-3 </w:t>
      </w:r>
      <w:proofErr w:type="gramStart"/>
      <w:r>
        <w:t>kriterleri</w:t>
      </w:r>
      <w:proofErr w:type="gramEnd"/>
      <w:r>
        <w:t xml:space="preserve"> aşağıdaki gibidir:</w:t>
      </w:r>
    </w:p>
    <w:p w:rsidR="00E659A9" w:rsidRPr="00874085" w:rsidRDefault="00E659A9" w:rsidP="00AA51A2">
      <w:pPr>
        <w:pStyle w:val="ListeParagraf"/>
        <w:numPr>
          <w:ilvl w:val="0"/>
          <w:numId w:val="14"/>
        </w:numPr>
        <w:spacing w:line="360" w:lineRule="auto"/>
        <w:ind w:left="1134" w:hanging="425"/>
        <w:jc w:val="both"/>
        <w:rPr>
          <w:rFonts w:ascii="Arial" w:hAnsi="Arial" w:cs="Arial"/>
          <w:sz w:val="24"/>
          <w:szCs w:val="24"/>
        </w:rPr>
      </w:pPr>
      <w:r w:rsidRPr="00874085">
        <w:rPr>
          <w:rFonts w:ascii="Arial" w:hAnsi="Arial" w:cs="Arial"/>
          <w:sz w:val="24"/>
          <w:szCs w:val="24"/>
        </w:rPr>
        <w:t>Geçmişt</w:t>
      </w:r>
      <w:r>
        <w:rPr>
          <w:rFonts w:ascii="Arial" w:hAnsi="Arial" w:cs="Arial"/>
          <w:sz w:val="24"/>
          <w:szCs w:val="24"/>
        </w:rPr>
        <w:t>e, B-C</w:t>
      </w:r>
      <w:r w:rsidRPr="00874085">
        <w:rPr>
          <w:rFonts w:ascii="Arial" w:hAnsi="Arial" w:cs="Arial"/>
          <w:sz w:val="24"/>
          <w:szCs w:val="24"/>
        </w:rPr>
        <w:t xml:space="preserve"> </w:t>
      </w:r>
      <w:proofErr w:type="gramStart"/>
      <w:r w:rsidRPr="00874085">
        <w:rPr>
          <w:rFonts w:ascii="Arial" w:hAnsi="Arial" w:cs="Arial"/>
          <w:sz w:val="24"/>
          <w:szCs w:val="24"/>
        </w:rPr>
        <w:t>kriterlerini</w:t>
      </w:r>
      <w:proofErr w:type="gramEnd"/>
      <w:r w:rsidRPr="00874085">
        <w:rPr>
          <w:rFonts w:ascii="Arial" w:hAnsi="Arial" w:cs="Arial"/>
          <w:sz w:val="24"/>
          <w:szCs w:val="24"/>
        </w:rPr>
        <w:t xml:space="preserve"> dolduran en az 2 atak geçirmiş olmak</w:t>
      </w:r>
    </w:p>
    <w:p w:rsidR="00E659A9" w:rsidRDefault="00E659A9" w:rsidP="00AA51A2">
      <w:pPr>
        <w:pStyle w:val="ListeParagraf"/>
        <w:numPr>
          <w:ilvl w:val="0"/>
          <w:numId w:val="14"/>
        </w:numPr>
        <w:spacing w:line="360" w:lineRule="auto"/>
        <w:ind w:left="1134" w:hanging="425"/>
        <w:jc w:val="both"/>
        <w:rPr>
          <w:rFonts w:ascii="Arial" w:hAnsi="Arial" w:cs="Arial"/>
          <w:sz w:val="24"/>
          <w:szCs w:val="24"/>
        </w:rPr>
      </w:pPr>
      <w:r>
        <w:rPr>
          <w:rFonts w:ascii="Arial" w:hAnsi="Arial" w:cs="Arial"/>
          <w:sz w:val="24"/>
          <w:szCs w:val="24"/>
        </w:rPr>
        <w:lastRenderedPageBreak/>
        <w:t>Aşağıdaki aura semptomlarından her ikisini içermesi :</w:t>
      </w:r>
    </w:p>
    <w:p w:rsidR="00E659A9" w:rsidRDefault="00E659A9" w:rsidP="00AA51A2">
      <w:pPr>
        <w:pStyle w:val="ListeParagraf"/>
        <w:numPr>
          <w:ilvl w:val="0"/>
          <w:numId w:val="12"/>
        </w:numPr>
        <w:spacing w:line="360" w:lineRule="auto"/>
        <w:ind w:left="1418" w:hanging="284"/>
        <w:jc w:val="both"/>
        <w:rPr>
          <w:rFonts w:ascii="Arial" w:hAnsi="Arial" w:cs="Arial"/>
          <w:sz w:val="24"/>
          <w:szCs w:val="24"/>
        </w:rPr>
      </w:pPr>
      <w:r>
        <w:rPr>
          <w:rFonts w:ascii="Arial" w:hAnsi="Arial" w:cs="Arial"/>
          <w:sz w:val="24"/>
          <w:szCs w:val="24"/>
        </w:rPr>
        <w:t>Tamamen düzelen motor güçsüzlük</w:t>
      </w:r>
    </w:p>
    <w:p w:rsidR="00E659A9" w:rsidRPr="00874085" w:rsidRDefault="00E659A9" w:rsidP="00AA51A2">
      <w:pPr>
        <w:pStyle w:val="ListeParagraf"/>
        <w:numPr>
          <w:ilvl w:val="0"/>
          <w:numId w:val="12"/>
        </w:numPr>
        <w:spacing w:line="360" w:lineRule="auto"/>
        <w:ind w:left="1418" w:hanging="284"/>
        <w:jc w:val="both"/>
        <w:rPr>
          <w:rFonts w:ascii="Arial" w:hAnsi="Arial" w:cs="Arial"/>
          <w:sz w:val="24"/>
          <w:szCs w:val="24"/>
        </w:rPr>
      </w:pPr>
      <w:r>
        <w:rPr>
          <w:rFonts w:ascii="Arial" w:hAnsi="Arial" w:cs="Arial"/>
          <w:sz w:val="24"/>
          <w:szCs w:val="24"/>
        </w:rPr>
        <w:t>Tamamen düzelen görsel, duyusal ve/veya dil semptomları</w:t>
      </w:r>
    </w:p>
    <w:p w:rsidR="00E659A9" w:rsidRDefault="00E659A9" w:rsidP="00AA51A2">
      <w:pPr>
        <w:pStyle w:val="ListeParagraf"/>
        <w:numPr>
          <w:ilvl w:val="0"/>
          <w:numId w:val="14"/>
        </w:numPr>
        <w:spacing w:line="360" w:lineRule="auto"/>
        <w:ind w:left="1134" w:hanging="425"/>
        <w:jc w:val="both"/>
        <w:rPr>
          <w:rFonts w:ascii="Arial" w:hAnsi="Arial" w:cs="Arial"/>
          <w:sz w:val="24"/>
          <w:szCs w:val="24"/>
        </w:rPr>
      </w:pPr>
      <w:r w:rsidRPr="00930217">
        <w:rPr>
          <w:rFonts w:ascii="Arial" w:hAnsi="Arial" w:cs="Arial"/>
          <w:sz w:val="24"/>
          <w:szCs w:val="24"/>
        </w:rPr>
        <w:t>Aşağıda</w:t>
      </w:r>
      <w:r>
        <w:rPr>
          <w:rFonts w:ascii="Arial" w:hAnsi="Arial" w:cs="Arial"/>
          <w:sz w:val="24"/>
          <w:szCs w:val="24"/>
        </w:rPr>
        <w:t>ki özelliklerden en az 2 ve fazlasını içermesi:</w:t>
      </w:r>
    </w:p>
    <w:p w:rsidR="00E659A9" w:rsidRDefault="00E659A9" w:rsidP="00AA51A2">
      <w:pPr>
        <w:pStyle w:val="ListeParagraf"/>
        <w:numPr>
          <w:ilvl w:val="0"/>
          <w:numId w:val="13"/>
        </w:numPr>
        <w:spacing w:line="360" w:lineRule="auto"/>
        <w:ind w:left="1418" w:hanging="284"/>
        <w:jc w:val="both"/>
        <w:rPr>
          <w:rFonts w:ascii="Arial" w:hAnsi="Arial" w:cs="Arial"/>
          <w:sz w:val="24"/>
          <w:szCs w:val="24"/>
        </w:rPr>
      </w:pPr>
      <w:r>
        <w:rPr>
          <w:rFonts w:ascii="Arial" w:hAnsi="Arial" w:cs="Arial"/>
          <w:sz w:val="24"/>
          <w:szCs w:val="24"/>
        </w:rPr>
        <w:t>En az 1 aura semptomunun 5 dakika ve üzerinde gelişerek yayılması ve/veya izlemde 2 veya üzerinde semptomun oluşması,</w:t>
      </w:r>
    </w:p>
    <w:p w:rsidR="00E659A9" w:rsidRDefault="00E659A9" w:rsidP="00AA51A2">
      <w:pPr>
        <w:pStyle w:val="ListeParagraf"/>
        <w:numPr>
          <w:ilvl w:val="0"/>
          <w:numId w:val="13"/>
        </w:numPr>
        <w:spacing w:line="360" w:lineRule="auto"/>
        <w:ind w:left="1418" w:hanging="284"/>
        <w:jc w:val="both"/>
        <w:rPr>
          <w:rFonts w:ascii="Arial" w:hAnsi="Arial" w:cs="Arial"/>
          <w:sz w:val="24"/>
          <w:szCs w:val="24"/>
        </w:rPr>
      </w:pPr>
      <w:r>
        <w:rPr>
          <w:rFonts w:ascii="Arial" w:hAnsi="Arial" w:cs="Arial"/>
          <w:sz w:val="24"/>
          <w:szCs w:val="24"/>
        </w:rPr>
        <w:t>Söz konusu semptomun 5 ile 60 dakika arası sürmesi,</w:t>
      </w:r>
    </w:p>
    <w:p w:rsidR="00E659A9" w:rsidRDefault="00E659A9" w:rsidP="00AA51A2">
      <w:pPr>
        <w:pStyle w:val="ListeParagraf"/>
        <w:numPr>
          <w:ilvl w:val="0"/>
          <w:numId w:val="13"/>
        </w:numPr>
        <w:spacing w:line="360" w:lineRule="auto"/>
        <w:ind w:left="1418" w:hanging="284"/>
        <w:jc w:val="both"/>
        <w:rPr>
          <w:rFonts w:ascii="Arial" w:hAnsi="Arial" w:cs="Arial"/>
          <w:sz w:val="24"/>
          <w:szCs w:val="24"/>
        </w:rPr>
      </w:pPr>
      <w:r>
        <w:rPr>
          <w:rFonts w:ascii="Arial" w:hAnsi="Arial" w:cs="Arial"/>
          <w:sz w:val="24"/>
          <w:szCs w:val="24"/>
        </w:rPr>
        <w:t>En az 1 aura semptomunun unilateral olması,</w:t>
      </w:r>
    </w:p>
    <w:p w:rsidR="00E659A9" w:rsidRDefault="00E659A9" w:rsidP="00AA51A2">
      <w:pPr>
        <w:pStyle w:val="ListeParagraf"/>
        <w:numPr>
          <w:ilvl w:val="0"/>
          <w:numId w:val="13"/>
        </w:numPr>
        <w:spacing w:line="360" w:lineRule="auto"/>
        <w:ind w:left="1418" w:hanging="284"/>
        <w:jc w:val="both"/>
        <w:rPr>
          <w:rFonts w:ascii="Arial" w:hAnsi="Arial" w:cs="Arial"/>
          <w:sz w:val="24"/>
          <w:szCs w:val="24"/>
        </w:rPr>
      </w:pPr>
      <w:r>
        <w:rPr>
          <w:rFonts w:ascii="Arial" w:hAnsi="Arial" w:cs="Arial"/>
          <w:sz w:val="24"/>
          <w:szCs w:val="24"/>
        </w:rPr>
        <w:t>Baş ağrısının auraya eşlik etmesi ve izleyen 60 dakika içinde ortaya çıkması,</w:t>
      </w:r>
    </w:p>
    <w:p w:rsidR="00E659A9" w:rsidRDefault="00E659A9" w:rsidP="00AA51A2">
      <w:pPr>
        <w:pStyle w:val="ListeParagraf"/>
        <w:numPr>
          <w:ilvl w:val="0"/>
          <w:numId w:val="14"/>
        </w:numPr>
        <w:spacing w:line="360" w:lineRule="auto"/>
        <w:ind w:left="1134" w:hanging="425"/>
        <w:jc w:val="both"/>
        <w:rPr>
          <w:rFonts w:ascii="Arial" w:hAnsi="Arial" w:cs="Arial"/>
          <w:sz w:val="24"/>
          <w:szCs w:val="24"/>
        </w:rPr>
      </w:pPr>
      <w:r>
        <w:rPr>
          <w:rFonts w:ascii="Arial" w:hAnsi="Arial" w:cs="Arial"/>
          <w:sz w:val="24"/>
          <w:szCs w:val="24"/>
        </w:rPr>
        <w:t>ICHD-3 sınıflamasındaki diğer tanılara uymaması ve GİA tanısının ekartasyonu</w:t>
      </w:r>
    </w:p>
    <w:p w:rsidR="00E659A9" w:rsidRDefault="00E659A9" w:rsidP="00AA51A2">
      <w:pPr>
        <w:pStyle w:val="METN"/>
      </w:pPr>
      <w:r>
        <w:t>Familyal hemiplejik migren tanısı için birinci veya ikinci dereceden akrabaların en az birinde hemiplejik migren kriterlerinin tamamı bulunmalıdır. Sporadik hemiplejik migren için ise aile öyküsü bulunmamalıdır.</w:t>
      </w:r>
    </w:p>
    <w:p w:rsidR="00E659A9" w:rsidRDefault="00E659A9" w:rsidP="00AA51A2">
      <w:pPr>
        <w:pStyle w:val="METN"/>
      </w:pPr>
      <w:r>
        <w:t xml:space="preserve">Vestibüler migren terimi, migren öyküsü veya migrenin diğer klinik bulgularına eşlik eden epizodik vertigoyu tarif etmek için kullanılmaktadır. Prevalansı %1 ololup </w:t>
      </w:r>
      <w:r>
        <w:rPr>
          <w:noProof/>
        </w:rPr>
        <w:t>[41]</w:t>
      </w:r>
      <w:r>
        <w:t xml:space="preserve"> kadınlarda daha sıktır </w:t>
      </w:r>
      <w:r>
        <w:rPr>
          <w:noProof/>
        </w:rPr>
        <w:t>[41-46]</w:t>
      </w:r>
      <w:r>
        <w:t xml:space="preserve">. Hastalar tipik olarak gerçek vertigo </w:t>
      </w:r>
      <w:proofErr w:type="gramStart"/>
      <w:r>
        <w:t>epizotları</w:t>
      </w:r>
      <w:proofErr w:type="gramEnd"/>
      <w:r>
        <w:t xml:space="preserve"> ile başvururlar. Bunlar spontan görülmekle beraber, ani kafa hareketi ile tetiklenme sıktır</w:t>
      </w:r>
      <w:r>
        <w:rPr>
          <w:noProof/>
        </w:rPr>
        <w:t>[47]</w:t>
      </w:r>
      <w:r>
        <w:t xml:space="preserve">. Vertigo </w:t>
      </w:r>
      <w:proofErr w:type="gramStart"/>
      <w:r>
        <w:t>şikayetine</w:t>
      </w:r>
      <w:proofErr w:type="gramEnd"/>
      <w:r>
        <w:t xml:space="preserve"> baş ağrısı her zaman eşlik etmeye bilir. Migrene özgü baş ağrısı dışı </w:t>
      </w:r>
      <w:proofErr w:type="gramStart"/>
      <w:r>
        <w:t>semptomlardan</w:t>
      </w:r>
      <w:proofErr w:type="gramEnd"/>
      <w:r>
        <w:t xml:space="preserve"> (fotofobi, sonofobi, görsel aura) en az 1 tanesi eşlik eder. Sonofobi dışında diğer işitsel </w:t>
      </w:r>
      <w:proofErr w:type="gramStart"/>
      <w:r>
        <w:t>semptomlar</w:t>
      </w:r>
      <w:proofErr w:type="gramEnd"/>
      <w:r>
        <w:t xml:space="preserve"> sık eşlik etmese de, işitme kaybı, kulaklarda dolgunluk veya tinnitus görülebilir. Epizotlar sırasında santral veya periferik vestibuler bulguların yanı sıra nistagmus eşlik edebilir. Semptomların süresi bir kaç saniyeden 72 saate kadar değişmektedir. Epizot sıklığı günde bir ile yılda birkaç keze kadar olacak şekilde geniş yelpazede değişmektedir. Diğer migren formlarında olduğu gibi burada da benzer tetikleyici faktörler bulunabilir </w:t>
      </w:r>
      <w:r>
        <w:rPr>
          <w:noProof/>
        </w:rPr>
        <w:t>[41, 47, 48]</w:t>
      </w:r>
      <w:r>
        <w:t>.</w:t>
      </w:r>
    </w:p>
    <w:p w:rsidR="00E659A9" w:rsidRPr="00461F9A" w:rsidRDefault="00AA51A2" w:rsidP="00AA51A2">
      <w:pPr>
        <w:pStyle w:val="Balk2"/>
      </w:pPr>
      <w:bookmarkStart w:id="12" w:name="_Toc492677331"/>
      <w:r>
        <w:lastRenderedPageBreak/>
        <w:t xml:space="preserve">1.5. </w:t>
      </w:r>
      <w:r w:rsidR="00E659A9" w:rsidRPr="00461F9A">
        <w:t>Migrenin patofizyolojisi</w:t>
      </w:r>
      <w:bookmarkEnd w:id="12"/>
    </w:p>
    <w:p w:rsidR="00E659A9" w:rsidRDefault="00E659A9" w:rsidP="00AA51A2">
      <w:pPr>
        <w:pStyle w:val="METN"/>
      </w:pPr>
      <w:r>
        <w:t>Güncel bilgiler ışığında migren baş ağrısının nöronal disfonksiyon sonucunda ortaya çıkan intrakranyal ve ekstrakranyal değişiklikler ile ilgili olduğu düşünülmektedir. Migren baş ağrısının kliniğini oluşturan 4 dönemdeki (premonitor semptomlar, aura, baş ağrısı ve postdromal dönem) değişiklikler için farklı mekanizmalar üzerinde durulmaktadır.</w:t>
      </w:r>
      <w:r>
        <w:rPr>
          <w:noProof/>
        </w:rPr>
        <w:t>[49]</w:t>
      </w:r>
      <w:r>
        <w:t xml:space="preserve">. Daha önceleri migrenin vasküler teorisi çok popülerdi. Bu teoriye göre, aura vazokonstriksiyon, migrenin kendisi ise vazodilatasyon sonucu oluşmaktadır. Bu teori günümüzde eski önemini kaybetmiştir </w:t>
      </w:r>
      <w:r>
        <w:rPr>
          <w:noProof/>
        </w:rPr>
        <w:t>[50, 51]</w:t>
      </w:r>
      <w:r>
        <w:t xml:space="preserve">. </w:t>
      </w:r>
    </w:p>
    <w:p w:rsidR="00E659A9" w:rsidRDefault="00E659A9" w:rsidP="00AA51A2">
      <w:pPr>
        <w:pStyle w:val="METN"/>
      </w:pPr>
      <w:r>
        <w:t xml:space="preserve">Premonitör dönem ile ilgili hipotez dopamin ile ilişkilidir </w:t>
      </w:r>
      <w:r>
        <w:rPr>
          <w:noProof/>
        </w:rPr>
        <w:t>[52-55]</w:t>
      </w:r>
      <w:r>
        <w:t xml:space="preserve">. Dopaminerjik premonitör hipotezini destekleyen en önemli kanıt, ekzojen dopamin reseptör agonisti uygulanan kişilerde migrenin premonitor döneminde oluşan esneme, bulantı ve uykululuk gibi belirtilerin oluşmasına neden olmasıdır </w:t>
      </w:r>
      <w:r>
        <w:rPr>
          <w:noProof/>
        </w:rPr>
        <w:t>[53, 54, 56, 57]</w:t>
      </w:r>
      <w:r>
        <w:t xml:space="preserve">. Tam tersi olarak dopamin </w:t>
      </w:r>
      <w:proofErr w:type="gramStart"/>
      <w:r>
        <w:t>antagonistlerinin</w:t>
      </w:r>
      <w:proofErr w:type="gramEnd"/>
      <w:r>
        <w:t xml:space="preserve"> bu bulgular</w:t>
      </w:r>
      <w:r w:rsidR="00AA51A2">
        <w:t>ın birçoğunu geriye döndürmekte</w:t>
      </w:r>
      <w:r>
        <w:t xml:space="preserve"> ve sonraki baş ağrılarının oluşmasını önleyebilmektedir. Ağrının premonitor belirtilerinin başladığı ilk 12 saat içinde dopamin </w:t>
      </w:r>
      <w:proofErr w:type="gramStart"/>
      <w:r>
        <w:t>antagonisti</w:t>
      </w:r>
      <w:proofErr w:type="gramEnd"/>
      <w:r>
        <w:t xml:space="preserve"> Domperidon uygulanmış kişilerde doz ilişkili etki olarak migren ağrılarını belirgin şekilde azaldığı gösterilmiştir </w:t>
      </w:r>
      <w:r>
        <w:rPr>
          <w:noProof/>
        </w:rPr>
        <w:t>[58]</w:t>
      </w:r>
      <w:r>
        <w:t xml:space="preserve">. Ancak Domperidonun santral sinir sistemine (SSS) geçmemesi premonitor bulguların intraserebral dopaminerjik sistem ile bağlantısına dair bazı sorular oluşturmaktadır. Buna karşın kan-beyin bariyerini aşarak SSS’e rahatlıkla geçen bir diğer ilaç olan metoklopramidin migrenin akut döneminde başarılı bir şekilde kullanılması dopaminerjik sistemin atağın başlangıcındaki önemini desteklemektedir </w:t>
      </w:r>
      <w:r>
        <w:rPr>
          <w:noProof/>
        </w:rPr>
        <w:t>[59-61]</w:t>
      </w:r>
      <w:r>
        <w:t xml:space="preserve">. Migrenli kişilerde dopamin agonistlerinin esneme, hipotansiyon ve bulantı gibi etkileri daha sık görülmektedir. Bu hassasiyet aslında migrenlilerde “dopaminerjik hipersensitivite” olduğunu düşündürmektedir. Bununla beraber hipersensitif kişilere uygulanan dopamin agonistleri migren baş ağrısına neden olmamaktadır. Bu da aslında dopaminin premonitor dönemle sınırlı bir etkisinin olduğunu düşündürmektedir </w:t>
      </w:r>
      <w:r>
        <w:rPr>
          <w:noProof/>
        </w:rPr>
        <w:t>[53, 56]</w:t>
      </w:r>
      <w:r>
        <w:t>.</w:t>
      </w:r>
    </w:p>
    <w:p w:rsidR="00E659A9" w:rsidRDefault="00E659A9" w:rsidP="00AA51A2">
      <w:pPr>
        <w:pStyle w:val="METN"/>
      </w:pPr>
      <w:r>
        <w:t xml:space="preserve">Premonitor </w:t>
      </w:r>
      <w:proofErr w:type="gramStart"/>
      <w:r>
        <w:t>semptomların</w:t>
      </w:r>
      <w:proofErr w:type="gramEnd"/>
      <w:r>
        <w:t xml:space="preserve"> oluşmasına dair bir diğer geniş kabul görmüş hipotezler de hipotalamus aktivitesinde olan değişikliklerdir </w:t>
      </w:r>
      <w:r>
        <w:rPr>
          <w:noProof/>
        </w:rPr>
        <w:t>[62]</w:t>
      </w:r>
      <w:r>
        <w:t xml:space="preserve">. Klinik nörofizyolojik çalışmalarda baş ağrısı öncesinde beyinde yaygın eksitasyon </w:t>
      </w:r>
      <w:r>
        <w:lastRenderedPageBreak/>
        <w:t xml:space="preserve">gösterilse de, davranış, beslenme alışkanlıkları ve enerji düzeyinde olan değişiklikler hipotalamusun rolünü işaret etmektedir </w:t>
      </w:r>
      <w:r>
        <w:rPr>
          <w:noProof/>
        </w:rPr>
        <w:t>[63]</w:t>
      </w:r>
      <w:r>
        <w:t xml:space="preserve">. Çalışmalarda nitrogliserinin migren atağı ile beraber premonitor bulgularını da tetiklediği gösterilmiştir </w:t>
      </w:r>
      <w:r>
        <w:rPr>
          <w:noProof/>
        </w:rPr>
        <w:t>[64]</w:t>
      </w:r>
      <w:r>
        <w:t>. Nitrogliserin uygulanmış kişilerde H</w:t>
      </w:r>
      <w:r w:rsidRPr="00461F9A">
        <w:rPr>
          <w:vertAlign w:val="subscript"/>
        </w:rPr>
        <w:t>2</w:t>
      </w:r>
      <w:r>
        <w:t xml:space="preserve">O PET hipotalamik kanlanmada artış gösterr </w:t>
      </w:r>
      <w:r>
        <w:rPr>
          <w:noProof/>
        </w:rPr>
        <w:t>[65]</w:t>
      </w:r>
      <w:r>
        <w:t xml:space="preserve">. Bu aslında hipotalamus hipotezini desteklemekle beraber, premonitor semptomların ortaya çıktığı dönemde verilebilecek yeni tedavilerin de yolunu açmaktadır. Bu kapsamda hayvan deneylerinde oreksinin migrende yararının gösterilmiş olması örnek olarak verilebilir </w:t>
      </w:r>
      <w:r>
        <w:rPr>
          <w:noProof/>
        </w:rPr>
        <w:t>[66]</w:t>
      </w:r>
      <w:r>
        <w:t>.</w:t>
      </w:r>
    </w:p>
    <w:p w:rsidR="00E659A9" w:rsidRDefault="00E659A9" w:rsidP="00AA51A2">
      <w:pPr>
        <w:pStyle w:val="METN"/>
      </w:pPr>
      <w:r>
        <w:t xml:space="preserve">Migrenin aura fazının patogenezinde aynı zamanda baş ağrısının da oluşmasında rolü olduğu düşünülen kortikal yayılan depresyon (KYD) yer almaktadır </w:t>
      </w:r>
      <w:r>
        <w:rPr>
          <w:noProof/>
        </w:rPr>
        <w:t>[67]</w:t>
      </w:r>
      <w:r>
        <w:t xml:space="preserve">. KYD serebral korteks boyunca artarak yayılan nöronal ve glial depolarizasyonu olup, sonrasında uzun süren hiperpolarizasyon eşlik eder </w:t>
      </w:r>
      <w:r>
        <w:rPr>
          <w:noProof/>
        </w:rPr>
        <w:t>[68, 69]</w:t>
      </w:r>
      <w:r>
        <w:t>. Bunun sonucunda normal iyonik gradientlerin bozulur, kortikal mikroçevre etkilenir,</w:t>
      </w:r>
      <w:r w:rsidR="00AA51A2">
        <w:t xml:space="preserve"> </w:t>
      </w:r>
      <w:r>
        <w:t xml:space="preserve">ekstrasellüler potasyum ve hidrojen iyonlarının seviyesi yükselir, araşidonik asit, glutamat, serotonin ve nitrik oksit salınımı artar ve intrasellüler sodyum azalır </w:t>
      </w:r>
      <w:r>
        <w:rPr>
          <w:noProof/>
        </w:rPr>
        <w:t>[70]</w:t>
      </w:r>
      <w:r>
        <w:t xml:space="preserve">. Metabolit ve elektrolitlerdeki değişikliklerle beraber KYD esnasında beyin perfüzyonunda da değişiklikler görülmektedir. Önce serebral hiperperfüzyon görülse de, sonrasında uzun süren hipoperfüzyon gelişmektedir </w:t>
      </w:r>
      <w:r>
        <w:rPr>
          <w:noProof/>
        </w:rPr>
        <w:t>[71]</w:t>
      </w:r>
      <w:r>
        <w:t>. Bu değişikliğin nörovasküler kenetlenme</w:t>
      </w:r>
      <w:r w:rsidRPr="0027516C">
        <w:t xml:space="preserve"> (</w:t>
      </w:r>
      <w:r>
        <w:t>“</w:t>
      </w:r>
      <w:r w:rsidRPr="00461F9A">
        <w:t xml:space="preserve">coupling”) </w:t>
      </w:r>
      <w:r>
        <w:t xml:space="preserve">sonucu oluştuğu düşünülmektedir. Depolarizasyon ile oluşan metabolit ihtiyacını karşılamak amacıyla perfüzyon artışı gerekmekle beraber, hiperpolarizasyon sırasında hipoperfüzyon gelişir </w:t>
      </w:r>
      <w:r>
        <w:rPr>
          <w:noProof/>
        </w:rPr>
        <w:t>[72]</w:t>
      </w:r>
      <w:r>
        <w:t xml:space="preserve">. KYD migren ağrısına trigeminal sinirin afferent dallarını stimüle ederek </w:t>
      </w:r>
      <w:r>
        <w:rPr>
          <w:noProof/>
        </w:rPr>
        <w:t>[73, 74]</w:t>
      </w:r>
      <w:r>
        <w:t xml:space="preserve"> ve kan-beyin bariyerinin geçirgenliğini sağlayan matriks metalloproteinazlarını aktive ederek neden olduğu düşünülmektedir </w:t>
      </w:r>
      <w:r>
        <w:rPr>
          <w:noProof/>
        </w:rPr>
        <w:t>[75]</w:t>
      </w:r>
      <w:r>
        <w:t xml:space="preserve">. Trigeminal sinirin KYD mekanizması üzerinden afferent dallarının aktivasyonuna ve ağrıya duyarlı meninkslerde inflamatuar değişikliklere neden olmaktadır. Bu da, santral ve periferik refleks mekanizmaları üzerinden migren baş ağrısına yol açmaktadır </w:t>
      </w:r>
      <w:r>
        <w:rPr>
          <w:noProof/>
        </w:rPr>
        <w:t>[76]</w:t>
      </w:r>
      <w:r>
        <w:t xml:space="preserve">. Altta yatan moleküler mekanizmalardan biri nöronal pannexin-1 megakanallarının açılması ve sonrasında caspase-1 enziminin aktive olmasını içermektedir. Bunların sonucunda, proinflamatuar mediyatörlerin salınımı, astrositlerdeki </w:t>
      </w:r>
      <w:r>
        <w:lastRenderedPageBreak/>
        <w:t xml:space="preserve">nükleer faktör kappa-B’in aktivasyonu, inflamatuar sinyallerin pial damarların etrafındaki trigeminal sinir liflerine transdüksiyonu olmaktadır </w:t>
      </w:r>
      <w:r>
        <w:rPr>
          <w:noProof/>
        </w:rPr>
        <w:t>[73]</w:t>
      </w:r>
      <w:r>
        <w:t>.</w:t>
      </w:r>
    </w:p>
    <w:p w:rsidR="00E659A9" w:rsidRDefault="00E659A9" w:rsidP="00AA51A2">
      <w:pPr>
        <w:pStyle w:val="METN"/>
        <w:rPr>
          <w:szCs w:val="24"/>
        </w:rPr>
      </w:pPr>
      <w:r>
        <w:rPr>
          <w:szCs w:val="24"/>
        </w:rPr>
        <w:t xml:space="preserve">Migren baş ağrısının oluşumunda trigeminovasküler sistemin aktivasyonunun önemi büyüktür. Bu sistem trigeminal gangliondaki küçük psödounipolar duyusal nöronlar ve üst servikal dorsal köklerden oluşur </w:t>
      </w:r>
      <w:r>
        <w:rPr>
          <w:noProof/>
          <w:szCs w:val="24"/>
        </w:rPr>
        <w:t>[77]</w:t>
      </w:r>
      <w:r>
        <w:rPr>
          <w:szCs w:val="24"/>
        </w:rPr>
        <w:t>. Bu duyusal nöronlar duramateri, büyük venöz sinüsleri, pial ve büyük beyin arterlerini inerve eder. Anterior anatomik yapılar genellikle trigeminal sinirin oftalmik divizyonu, posterior kısımlar ise üst servikal köklerle innerve edilmektedir. İnnerve edilen alanların, özellikle duramaterin, mekanik, kimyasal veya elektiriksel uyarımı sonucunda migrenöz baş ağrıs</w:t>
      </w:r>
      <w:r w:rsidR="00AA51A2">
        <w:rPr>
          <w:szCs w:val="24"/>
        </w:rPr>
        <w:t>ı yanı sırasonofobi ve fotofobi</w:t>
      </w:r>
      <w:r>
        <w:rPr>
          <w:szCs w:val="24"/>
        </w:rPr>
        <w:t xml:space="preserve"> de gelişmektedir. Bu alanların uzağında kalan kısımların stimülasyonu daha az nosiseptif özellik taşımaktadır. İntrakranyal damarlar ile meninkslerin nosiseptif innervasyonunu sağlayan lifler miyelinsiz C lifleri ve ince miyelinli Aδ lifleridir </w:t>
      </w:r>
      <w:r>
        <w:rPr>
          <w:noProof/>
          <w:szCs w:val="24"/>
        </w:rPr>
        <w:t>[78]</w:t>
      </w:r>
      <w:r>
        <w:rPr>
          <w:szCs w:val="24"/>
        </w:rPr>
        <w:t>.</w:t>
      </w:r>
    </w:p>
    <w:p w:rsidR="00E659A9" w:rsidRDefault="00E659A9" w:rsidP="00AA51A2">
      <w:pPr>
        <w:pStyle w:val="METN"/>
        <w:rPr>
          <w:szCs w:val="24"/>
        </w:rPr>
      </w:pPr>
      <w:r>
        <w:rPr>
          <w:szCs w:val="24"/>
        </w:rPr>
        <w:t xml:space="preserve">Üst servikal kökler ve trigeminal sinir lifleri </w:t>
      </w:r>
      <w:proofErr w:type="gramStart"/>
      <w:r>
        <w:rPr>
          <w:szCs w:val="24"/>
        </w:rPr>
        <w:t>projeksiyonlarının</w:t>
      </w:r>
      <w:proofErr w:type="gramEnd"/>
      <w:r>
        <w:rPr>
          <w:szCs w:val="24"/>
        </w:rPr>
        <w:t xml:space="preserve"> trigeminal nukleus caudalis’de konverjans yaptığı görülmektedir. Bunun sonucunda, migren ağrısının başın önü ve arkası kısmı yanı sıra, boynun üst kısmını tutabildiği düşünülmektedir </w:t>
      </w:r>
      <w:r>
        <w:rPr>
          <w:noProof/>
          <w:szCs w:val="24"/>
        </w:rPr>
        <w:t>[79, 80]</w:t>
      </w:r>
      <w:r>
        <w:rPr>
          <w:szCs w:val="24"/>
        </w:rPr>
        <w:t xml:space="preserve">. Trigeminal nukleus caudalise gelmiş santral sinyaller rostral trigeminal nukleuslar, periakuaduktal gri bölge, nukleus rafe magnus ve inen kortikal inhibitör yolaklar tarafından </w:t>
      </w:r>
      <w:proofErr w:type="gramStart"/>
      <w:r>
        <w:rPr>
          <w:szCs w:val="24"/>
        </w:rPr>
        <w:t>modüle</w:t>
      </w:r>
      <w:proofErr w:type="gramEnd"/>
      <w:r>
        <w:rPr>
          <w:szCs w:val="24"/>
        </w:rPr>
        <w:t xml:space="preserve"> edilmektedirler </w:t>
      </w:r>
      <w:r>
        <w:rPr>
          <w:noProof/>
          <w:szCs w:val="24"/>
        </w:rPr>
        <w:t>[81, 82]</w:t>
      </w:r>
      <w:r>
        <w:rPr>
          <w:szCs w:val="24"/>
        </w:rPr>
        <w:t>.</w:t>
      </w:r>
    </w:p>
    <w:p w:rsidR="00E659A9" w:rsidRDefault="00E659A9" w:rsidP="00AA51A2">
      <w:pPr>
        <w:pStyle w:val="METN"/>
        <w:rPr>
          <w:szCs w:val="24"/>
        </w:rPr>
      </w:pPr>
      <w:r>
        <w:rPr>
          <w:szCs w:val="24"/>
        </w:rPr>
        <w:t xml:space="preserve">Ağrının lokalizasyonu ile ilişkili lifler trigeminal nukleus caudalis’ten talamus ventroposterior medial nukleusuna ve de oradan da duyusal kortekse iletilir </w:t>
      </w:r>
      <w:r>
        <w:rPr>
          <w:noProof/>
          <w:szCs w:val="24"/>
        </w:rPr>
        <w:t>[83]</w:t>
      </w:r>
      <w:r>
        <w:rPr>
          <w:szCs w:val="24"/>
        </w:rPr>
        <w:t xml:space="preserve">. Diğer ikinci sıra nöronlar, trigeminal </w:t>
      </w:r>
      <w:proofErr w:type="gramStart"/>
      <w:r>
        <w:rPr>
          <w:szCs w:val="24"/>
        </w:rPr>
        <w:t>kompleksin</w:t>
      </w:r>
      <w:proofErr w:type="gramEnd"/>
      <w:r>
        <w:rPr>
          <w:szCs w:val="24"/>
        </w:rPr>
        <w:t xml:space="preserve"> rostral segmenti </w:t>
      </w:r>
      <w:r>
        <w:rPr>
          <w:noProof/>
          <w:szCs w:val="24"/>
        </w:rPr>
        <w:t>[84]</w:t>
      </w:r>
      <w:r>
        <w:rPr>
          <w:szCs w:val="24"/>
        </w:rPr>
        <w:t xml:space="preserve">, beyin sapı retiküler formasyonu </w:t>
      </w:r>
      <w:r>
        <w:rPr>
          <w:noProof/>
          <w:szCs w:val="24"/>
        </w:rPr>
        <w:t>[85]</w:t>
      </w:r>
      <w:r>
        <w:rPr>
          <w:szCs w:val="24"/>
        </w:rPr>
        <w:t xml:space="preserve">, serebellum </w:t>
      </w:r>
      <w:r>
        <w:rPr>
          <w:noProof/>
          <w:szCs w:val="24"/>
        </w:rPr>
        <w:t>[86, 87]</w:t>
      </w:r>
      <w:r>
        <w:rPr>
          <w:szCs w:val="24"/>
        </w:rPr>
        <w:t xml:space="preserve">, mezensefalon, pontin parabrakial nukleuslar </w:t>
      </w:r>
      <w:r>
        <w:rPr>
          <w:noProof/>
          <w:szCs w:val="24"/>
        </w:rPr>
        <w:t>[88, 89]</w:t>
      </w:r>
      <w:r>
        <w:rPr>
          <w:szCs w:val="24"/>
        </w:rPr>
        <w:t xml:space="preserve">, ventrobazal talamus </w:t>
      </w:r>
      <w:r>
        <w:rPr>
          <w:noProof/>
          <w:szCs w:val="24"/>
        </w:rPr>
        <w:t>[84, 87]</w:t>
      </w:r>
      <w:r>
        <w:rPr>
          <w:szCs w:val="24"/>
        </w:rPr>
        <w:t xml:space="preserve"> ile posterior ve medial talamusa </w:t>
      </w:r>
      <w:r>
        <w:rPr>
          <w:noProof/>
          <w:szCs w:val="24"/>
        </w:rPr>
        <w:t>[90-92]</w:t>
      </w:r>
      <w:r>
        <w:rPr>
          <w:szCs w:val="24"/>
        </w:rPr>
        <w:t xml:space="preserve"> iletilir. Daha rostral beyin sapı nukleuslarından nosiseptif enformasyon ağrının vejetatif ve emosyonel komponentlerini oluşturmak üzere beynin diğer alanlarına (örn. limbik alanlara) geçer </w:t>
      </w:r>
      <w:r>
        <w:rPr>
          <w:noProof/>
          <w:szCs w:val="24"/>
        </w:rPr>
        <w:t>[88, 93]</w:t>
      </w:r>
      <w:r>
        <w:rPr>
          <w:szCs w:val="24"/>
        </w:rPr>
        <w:t xml:space="preserve"> (</w:t>
      </w:r>
      <w:r w:rsidRPr="00461F9A">
        <w:rPr>
          <w:b/>
          <w:szCs w:val="24"/>
        </w:rPr>
        <w:t xml:space="preserve">Resim </w:t>
      </w:r>
      <w:proofErr w:type="gramStart"/>
      <w:r w:rsidR="00AC50D2">
        <w:rPr>
          <w:b/>
          <w:szCs w:val="24"/>
        </w:rPr>
        <w:t>1.</w:t>
      </w:r>
      <w:r w:rsidRPr="00461F9A">
        <w:rPr>
          <w:b/>
          <w:szCs w:val="24"/>
        </w:rPr>
        <w:t>1</w:t>
      </w:r>
      <w:proofErr w:type="gramEnd"/>
      <w:r>
        <w:rPr>
          <w:szCs w:val="24"/>
        </w:rPr>
        <w:t>).</w:t>
      </w:r>
    </w:p>
    <w:tbl>
      <w:tblPr>
        <w:tblW w:w="0" w:type="auto"/>
        <w:tblLook w:val="04A0" w:firstRow="1" w:lastRow="0" w:firstColumn="1" w:lastColumn="0" w:noHBand="0" w:noVBand="1"/>
      </w:tblPr>
      <w:tblGrid>
        <w:gridCol w:w="4182"/>
        <w:gridCol w:w="4038"/>
      </w:tblGrid>
      <w:tr w:rsidR="00E659A9" w:rsidTr="00461F9A">
        <w:tc>
          <w:tcPr>
            <w:tcW w:w="4248" w:type="dxa"/>
            <w:shd w:val="clear" w:color="auto" w:fill="auto"/>
          </w:tcPr>
          <w:p w:rsidR="00E659A9" w:rsidRDefault="00E659A9">
            <w:pPr>
              <w:spacing w:line="360" w:lineRule="auto"/>
              <w:jc w:val="both"/>
              <w:rPr>
                <w:rFonts w:ascii="Arial" w:hAnsi="Arial" w:cs="Arial"/>
                <w:sz w:val="24"/>
                <w:szCs w:val="24"/>
              </w:rPr>
            </w:pPr>
            <w:r>
              <w:rPr>
                <w:noProof/>
                <w:lang w:eastAsia="tr-TR"/>
              </w:rPr>
              <w:lastRenderedPageBreak/>
              <w:drawing>
                <wp:inline distT="0" distB="0" distL="0" distR="0" wp14:anchorId="48C55306" wp14:editId="550EE897">
                  <wp:extent cx="2444278" cy="1903863"/>
                  <wp:effectExtent l="0" t="0" r="0" b="1270"/>
                  <wp:docPr id="4" name="Picture 3" descr="http://physrev.physiology.org/content/physrev/97/2/553/F4.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hysrev.physiology.org/content/physrev/97/2/553/F4.lar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0766" cy="1908916"/>
                          </a:xfrm>
                          <a:prstGeom prst="rect">
                            <a:avLst/>
                          </a:prstGeom>
                          <a:noFill/>
                          <a:ln>
                            <a:noFill/>
                          </a:ln>
                        </pic:spPr>
                      </pic:pic>
                    </a:graphicData>
                  </a:graphic>
                </wp:inline>
              </w:drawing>
            </w:r>
          </w:p>
        </w:tc>
        <w:tc>
          <w:tcPr>
            <w:tcW w:w="5100" w:type="dxa"/>
            <w:shd w:val="clear" w:color="auto" w:fill="auto"/>
          </w:tcPr>
          <w:p w:rsidR="00AA51A2" w:rsidRDefault="00AA51A2" w:rsidP="00AA51A2">
            <w:pPr>
              <w:pStyle w:val="Resimler5"/>
              <w:rPr>
                <w:sz w:val="16"/>
                <w:szCs w:val="16"/>
              </w:rPr>
            </w:pPr>
            <w:bookmarkStart w:id="13" w:name="_Toc492677199"/>
            <w:r>
              <w:t>Resim</w:t>
            </w:r>
            <w:r w:rsidR="00E659A9" w:rsidRPr="00461F9A">
              <w:t xml:space="preserve"> </w:t>
            </w:r>
            <w:proofErr w:type="gramStart"/>
            <w:r w:rsidR="00AC50D2">
              <w:t>1.</w:t>
            </w:r>
            <w:r w:rsidR="00DE5166">
              <w:t>2</w:t>
            </w:r>
            <w:proofErr w:type="gramEnd"/>
            <w:r w:rsidR="00E659A9" w:rsidRPr="00461F9A">
              <w:t xml:space="preserve">. </w:t>
            </w:r>
            <w:r w:rsidR="00E659A9" w:rsidRPr="00AA51A2">
              <w:rPr>
                <w:b w:val="0"/>
              </w:rPr>
              <w:t>Trigeminovasküler sistem-asendan projeksiyonlar</w:t>
            </w:r>
            <w:bookmarkEnd w:id="13"/>
          </w:p>
          <w:p w:rsidR="00E659A9" w:rsidRDefault="00E659A9" w:rsidP="00461F9A">
            <w:pPr>
              <w:spacing w:line="360" w:lineRule="auto"/>
              <w:rPr>
                <w:rFonts w:ascii="Arial" w:hAnsi="Arial" w:cs="Arial"/>
                <w:sz w:val="24"/>
                <w:szCs w:val="24"/>
              </w:rPr>
            </w:pPr>
            <w:r w:rsidRPr="00AA51A2">
              <w:rPr>
                <w:rFonts w:ascii="Arial" w:hAnsi="Arial" w:cs="Arial"/>
                <w:sz w:val="16"/>
                <w:szCs w:val="16"/>
              </w:rPr>
              <w:t xml:space="preserve">Trigeminal gangliondan(TG) intrakranyal ve ekstrakranyal damarlar ve spinal kord trigeminoservikal </w:t>
            </w:r>
            <w:proofErr w:type="gramStart"/>
            <w:r w:rsidRPr="00AA51A2">
              <w:rPr>
                <w:rFonts w:ascii="Arial" w:hAnsi="Arial" w:cs="Arial"/>
                <w:sz w:val="16"/>
                <w:szCs w:val="16"/>
              </w:rPr>
              <w:t>kompleksle</w:t>
            </w:r>
            <w:proofErr w:type="gramEnd"/>
            <w:r w:rsidRPr="00AA51A2">
              <w:rPr>
                <w:rFonts w:ascii="Arial" w:hAnsi="Arial" w:cs="Arial"/>
                <w:sz w:val="16"/>
                <w:szCs w:val="16"/>
              </w:rPr>
              <w:t xml:space="preserve"> (TCC) sinaps yapan psödounipolar trigeminal afferent sinirler çıkar. TCC’den çıkan ikinci sıra nöronlar trigeminotalamik yolaklarla çıkarak üçüncü sıra talamokortikal nöronlarla sinaps oluşturur. Direkt ve indirekt asendan yolaklar locus coeruleus (LC), periaqueductal gri madde (PAG) ve de hipotalamusa projekte olurlar. Üçüncü sıra talamokortikal nöronlar ise primer ve sekonder motor (M1/M2), primer ve sekonder somatosensör (S1/S2), primer ve sekonder vizüel korteks (V1/V2) gibi yaygın kortikal alanlarla diffüz şekilde sinaps oluştururlar. TCC’den superior salivatuar nukleusa (SuS) olan bağlantı, sfenopalatin ganglion vasıtasıyla intrakranyal ve ekstrakranyal strukturların parasempatik innervasyonunu sağlamaktadır. Ins, insula; PtA, pariyetal assosasyon; RS, retrosplenyal; Au, audituar; Ect, ektorinal; RVM, rostral ventromedial medulla</w:t>
            </w:r>
          </w:p>
        </w:tc>
      </w:tr>
    </w:tbl>
    <w:p w:rsidR="00E659A9" w:rsidRDefault="00E659A9" w:rsidP="001731FC">
      <w:pPr>
        <w:spacing w:line="360" w:lineRule="auto"/>
        <w:ind w:firstLine="567"/>
        <w:jc w:val="both"/>
        <w:rPr>
          <w:rFonts w:ascii="Arial" w:hAnsi="Arial" w:cs="Arial"/>
          <w:sz w:val="24"/>
          <w:szCs w:val="24"/>
        </w:rPr>
      </w:pPr>
    </w:p>
    <w:p w:rsidR="00E659A9" w:rsidRDefault="00E659A9" w:rsidP="00AA51A2">
      <w:pPr>
        <w:pStyle w:val="METN"/>
      </w:pPr>
      <w:r>
        <w:t xml:space="preserve">Trigeminal ganglionun stimülasyonu sonucu nosiseptif sinir lifleri akson uçlarından vazoaktif nöropeptid, P maddesi, kalsitonin geni ile ilişkili peptid (CGRP), nörokinin A ve pitüiter adenilat siklaz aktive edici peptid (PACAP) salınımı görülmektedir. Bu nöropeptidlerin salınımının dural ve pial damarların vazodilatasyonuna yol açarak, nörojenik infalamasyona neden olduğu düşünülmektedir. Steril inflamatuar yanıtın iki esas komponenti vazodilatasyon (CGRP potent vazodilatördür) ve plazma protein ekstravazasyonudur </w:t>
      </w:r>
      <w:r>
        <w:rPr>
          <w:noProof/>
        </w:rPr>
        <w:t>[94]</w:t>
      </w:r>
      <w:r>
        <w:t xml:space="preserve">. </w:t>
      </w:r>
    </w:p>
    <w:p w:rsidR="00E659A9" w:rsidRDefault="00E659A9" w:rsidP="00AA51A2">
      <w:pPr>
        <w:pStyle w:val="METN"/>
      </w:pPr>
      <w:r>
        <w:t xml:space="preserve">Bu olaylar sırasında, nöronlar nosiseptif uyaranların yanı sıra non-nosiseptif uyaranlara karşı da artmış yanıt göstermektedir. Bu </w:t>
      </w:r>
      <w:proofErr w:type="gramStart"/>
      <w:r>
        <w:t>fenomen</w:t>
      </w:r>
      <w:proofErr w:type="gramEnd"/>
      <w:r>
        <w:t xml:space="preserve"> “sensitizasyon” olarak bilinmektedir. Bu sırada yanıt eşiği düşmekle beraber, yanıt şiddeti artar, reseptif alanlar genişler ve spontan nöronal aktivite gelişmektedir </w:t>
      </w:r>
      <w:r>
        <w:rPr>
          <w:noProof/>
        </w:rPr>
        <w:t>[95-97]</w:t>
      </w:r>
      <w:r>
        <w:t xml:space="preserve">. Sensitizasyonun periferdeki primer afferent nöronların yanı sıra, santral yerleşimli trigeminal caudal nukleustaki ikinci sıra nöronları ve SSS’nin daha yüksek düzeyindeki nöronlarını etkilediği düşünülmektedir. </w:t>
      </w:r>
      <w:r>
        <w:lastRenderedPageBreak/>
        <w:t xml:space="preserve">Bu mekanizmanın migren atağının oluşmasının yanı sıra, epizodik migrenin kronikleşmesinde rolü olduğu düşünülmektedir. Sensitizasyon migrenin ağrısının zonklayıcı özellikte olmasını, ağrının öksürükle, eğilmeyle, ani baş hareketiyle kötüleşmesini, hiperaljeziyi (ağrılı stimuluslara karşı artmış hassasiyet) ve allodiniyi (ağrı nedeni olmayan stimuluslar ile ağrının oluşması) açıkladığı düşünülmektedir </w:t>
      </w:r>
      <w:r>
        <w:rPr>
          <w:noProof/>
        </w:rPr>
        <w:t>[95, 96]</w:t>
      </w:r>
      <w:r>
        <w:t>.</w:t>
      </w:r>
    </w:p>
    <w:p w:rsidR="00E659A9" w:rsidRDefault="00E659A9" w:rsidP="00AA51A2">
      <w:pPr>
        <w:pStyle w:val="METN"/>
      </w:pPr>
      <w:r>
        <w:t xml:space="preserve">Migren atağı sırasında damarlardaki değişikliklerle ilgili çelişkili sonuçlar mevcuttur. Yapılmış bazı çalışmalarda spontan atak sırasında </w:t>
      </w:r>
      <w:r>
        <w:rPr>
          <w:noProof/>
        </w:rPr>
        <w:t>[98]</w:t>
      </w:r>
      <w:r>
        <w:t xml:space="preserve"> veya NTG ile tetiklenen </w:t>
      </w:r>
      <w:r>
        <w:rPr>
          <w:noProof/>
        </w:rPr>
        <w:t>[99]</w:t>
      </w:r>
      <w:r>
        <w:t xml:space="preserve"> migren atakları sırasında serebral ve meningeal arterlerde herhangi dilatasyon görülmemiştir. Bunların aksine, yapılmış bir diğer çalışmada CGRP infüzyonuyla tetiklenen migren baş ağrısının olduğu tarafta orta meningeal ve orta serebral arterlerde hafif vazodilatasyon gösterilmiştir </w:t>
      </w:r>
      <w:r>
        <w:rPr>
          <w:noProof/>
        </w:rPr>
        <w:t>[100]</w:t>
      </w:r>
      <w:r>
        <w:t>. Sumatriptan uygulanmış bu grup hastalarda baş ağrısının azalmasının yanı sıra sadece orta meningeal arterlerde vazokonstriksiyon görülmüştür. Bu farklı bulgular, çalışmalarda uygulanmış farklı teknikler ve tetikleyicilere bağlı olabileceği düşünülse de, vazodilatasyonun kendisinin baş ağrısının doğrudan neden olabileceğini gösteren herhangi kanıt bulunmuş değildir. Bazı çalışmalarda tespit edilen vazodilatasyonun ise sadece baş ağrısının bir sonucu veya bir parçası olabileceği düşünülmektedir. Bununla beraber vazodilatasyona yol açtığıhalde baş ağrısı yapmayan etkenlerin yanı sıra, vazodilatasyon özelliği olmayıp da migreni tetikleyen etkenlerin bulunması olduğu bu görüşü desteklemektedir.</w:t>
      </w:r>
    </w:p>
    <w:p w:rsidR="00E659A9" w:rsidRDefault="00E659A9" w:rsidP="00AA51A2">
      <w:pPr>
        <w:pStyle w:val="METN"/>
      </w:pPr>
      <w:r>
        <w:t>Migreni tetikleyen moleküller olarak nitrik oksit, CGRP, PACAP, sildenafil, prostoglandin I</w:t>
      </w:r>
      <w:r w:rsidRPr="00461F9A">
        <w:rPr>
          <w:vertAlign w:val="subscript"/>
        </w:rPr>
        <w:t>2</w:t>
      </w:r>
      <w:r>
        <w:t xml:space="preserve"> ve E</w:t>
      </w:r>
      <w:r w:rsidRPr="00461F9A">
        <w:rPr>
          <w:vertAlign w:val="subscript"/>
        </w:rPr>
        <w:t>2</w:t>
      </w:r>
      <w:r>
        <w:t xml:space="preserve"> iyi bilinmektedir </w:t>
      </w:r>
      <w:r>
        <w:rPr>
          <w:noProof/>
        </w:rPr>
        <w:t>[101, 102]</w:t>
      </w:r>
      <w:r>
        <w:t>. Bu moleküllerin intravenöz uygulanması sonucu migren ağrısı oluşması bunun bir kanıtıdır. Prostoglandin I</w:t>
      </w:r>
      <w:r w:rsidRPr="00461F9A">
        <w:rPr>
          <w:vertAlign w:val="subscript"/>
        </w:rPr>
        <w:t>2</w:t>
      </w:r>
      <w:r>
        <w:t xml:space="preserve"> ve E</w:t>
      </w:r>
      <w:r w:rsidRPr="00461F9A">
        <w:rPr>
          <w:vertAlign w:val="subscript"/>
        </w:rPr>
        <w:t>2</w:t>
      </w:r>
      <w:r>
        <w:t xml:space="preserve"> dışında diğer moleküllerin uygulanması sonrasında önce hafif baş ağrısı başlamakta ve birkaç saat sonra migren baş ağrısı gelişmektedir </w:t>
      </w:r>
      <w:r>
        <w:rPr>
          <w:noProof/>
        </w:rPr>
        <w:t>[101, 102]</w:t>
      </w:r>
      <w:r>
        <w:t xml:space="preserve">. Bu nedenle ekzojen uygulanan moleküllerin direkt etki ile değil bir nörokimyasal değişiklikler süreci ile migreni başlattığı düşünülmektedir. Bu moleküller dopamin, asetilkolin, epinefrin ve adenozin trifosfat gibi nörotransmitterlerin ve daha çok PACAP, nitrik oksit ve CGRP salınımını artırır. Bu açıklamayı esas destekleyen NTG uygulanmasının </w:t>
      </w:r>
      <w:r>
        <w:lastRenderedPageBreak/>
        <w:t xml:space="preserve">başağrısının premonitor dönem semptomlarını tetiklemesini göstermiş ve dopamin ile ilişkilendirmiş olan çalışmadır </w:t>
      </w:r>
      <w:r>
        <w:rPr>
          <w:noProof/>
        </w:rPr>
        <w:t>[64]</w:t>
      </w:r>
      <w:r>
        <w:t xml:space="preserve">. CGRP özellikle terapötik değeri olan bir molekül olması açısından önemlidir. CGRP trigeminal sinir ganglionunda eksprese olan 37 amino asitli bir nöropeptid olup, serebral ve dural damarların potent vazodilatörüdür </w:t>
      </w:r>
      <w:r>
        <w:rPr>
          <w:noProof/>
        </w:rPr>
        <w:t>[103]</w:t>
      </w:r>
      <w:r>
        <w:t xml:space="preserve">. Yapılmış randomize çalışmalarda CGRP reseptör antagonistleri olan telcagepant  ve olcegepant’ın  akut migren ataklarındaki yararı gösterilmiştir </w:t>
      </w:r>
      <w:r>
        <w:rPr>
          <w:noProof/>
        </w:rPr>
        <w:t>[104-107]</w:t>
      </w:r>
      <w:r>
        <w:t xml:space="preserve">. Buna rağmen telcagepant hepatotoksisite, olcegepant ise yetersiz oral bioyararlanımı nedeniyle kliniğe geçememiştir </w:t>
      </w:r>
      <w:r>
        <w:rPr>
          <w:noProof/>
        </w:rPr>
        <w:t>[108]</w:t>
      </w:r>
      <w:r>
        <w:t xml:space="preserve">. CGRP monoklonal antikorlarının faz 2 çalışmalarında ise hepatotoksisite gözlenmemiştir. Bu ilaçların diğer oral antimigren ilaçlarına etkinlik açısından benzediği gösterilmiştir. Güvenlik ve tolerabilite yanı sıra uygulama sıklığının az olması gibi özellikleri ile umut verici görünen bu moleküllerin uzun vadeli klinik çalışmalarına ihtiyaç vardır </w:t>
      </w:r>
      <w:r>
        <w:rPr>
          <w:noProof/>
        </w:rPr>
        <w:t>[109-112]</w:t>
      </w:r>
      <w:r>
        <w:t>.</w:t>
      </w:r>
    </w:p>
    <w:p w:rsidR="00E659A9" w:rsidRDefault="00E659A9" w:rsidP="00AA51A2">
      <w:pPr>
        <w:pStyle w:val="METN"/>
        <w:rPr>
          <w:szCs w:val="24"/>
        </w:rPr>
      </w:pPr>
      <w:r>
        <w:rPr>
          <w:szCs w:val="24"/>
        </w:rPr>
        <w:t xml:space="preserve">Migren tedavisinde serotonin 1B, 1D ve 1F reseptörleri agonistlerinin etkinliği bilinse de bu sistemin migrenin patogenezindeki rolü net olarak ortaya konulamamıştır </w:t>
      </w:r>
      <w:r>
        <w:rPr>
          <w:noProof/>
          <w:szCs w:val="24"/>
        </w:rPr>
        <w:t>[113]</w:t>
      </w:r>
      <w:r>
        <w:rPr>
          <w:szCs w:val="24"/>
        </w:rPr>
        <w:t xml:space="preserve">. Beyin sapındaki serotoninerjik nukleuslardan salınan serotoninin beyin damarlarına doğrudan olan etkisi, desendan ağrı kontrol mekanizmalarını aktivasyonu veya talamokortikal </w:t>
      </w:r>
      <w:proofErr w:type="gramStart"/>
      <w:r>
        <w:rPr>
          <w:szCs w:val="24"/>
        </w:rPr>
        <w:t>projeksiyonun</w:t>
      </w:r>
      <w:proofErr w:type="gramEnd"/>
      <w:r>
        <w:rPr>
          <w:szCs w:val="24"/>
        </w:rPr>
        <w:t xml:space="preserve"> modülasyonunun rol aldığı düşünülmektedir </w:t>
      </w:r>
      <w:r>
        <w:rPr>
          <w:noProof/>
          <w:szCs w:val="24"/>
        </w:rPr>
        <w:t>[114, 115]</w:t>
      </w:r>
      <w:r>
        <w:rPr>
          <w:szCs w:val="24"/>
        </w:rPr>
        <w:t xml:space="preserve">. Serotoninin koruyucu rolünü re-uptake inhibisyonu yapan trisiklik antidepresanların profilaksideki etkinliği desteklese de selektif serotonin reseptör inhibitörlerinin (SSRI) etkili olamaması aksi yönündedir. Non-triptan selektif 5-HT1F reseptör agonisti Lasmiditan’la ilgili yapılmış klinik çalışmalar migren patofizyolojisine dair birçok konuya açıklık getirmiştir </w:t>
      </w:r>
      <w:r>
        <w:rPr>
          <w:noProof/>
          <w:szCs w:val="24"/>
        </w:rPr>
        <w:t>[116, 117]</w:t>
      </w:r>
      <w:r>
        <w:rPr>
          <w:szCs w:val="24"/>
        </w:rPr>
        <w:t xml:space="preserve">. Lasmiditan’ın hem oral, hem intravenöz formu yapılmış pilot çalışmada migren atağı tedavisinde etkinliği görülmekle beraber, triptanlarda sık görülen göğüste, boyun ve çenede sıkışma hissi olmamıştır </w:t>
      </w:r>
      <w:r>
        <w:rPr>
          <w:noProof/>
          <w:szCs w:val="24"/>
        </w:rPr>
        <w:t>[116, 117]</w:t>
      </w:r>
      <w:r>
        <w:rPr>
          <w:szCs w:val="24"/>
        </w:rPr>
        <w:t xml:space="preserve">. 5-HT1F reseptörünün esas özelliği damarlarda hemen hemen hiç eksprese olmaması ve ağırlıklı olarak trigeminal ganglionda bulunmasıdır </w:t>
      </w:r>
      <w:r>
        <w:rPr>
          <w:noProof/>
          <w:szCs w:val="24"/>
        </w:rPr>
        <w:t>[118]</w:t>
      </w:r>
      <w:r>
        <w:rPr>
          <w:szCs w:val="24"/>
        </w:rPr>
        <w:t xml:space="preserve">. Yani Lasmiditanın etkisi non-vasküler mekanizmalar üzerindendir. </w:t>
      </w:r>
    </w:p>
    <w:p w:rsidR="00E659A9" w:rsidRPr="00461F9A" w:rsidRDefault="0046600F" w:rsidP="0046600F">
      <w:pPr>
        <w:pStyle w:val="Balk2"/>
      </w:pPr>
      <w:bookmarkStart w:id="14" w:name="_Toc492677332"/>
      <w:r>
        <w:lastRenderedPageBreak/>
        <w:t xml:space="preserve">1.6. </w:t>
      </w:r>
      <w:r w:rsidR="00E659A9" w:rsidRPr="00461F9A">
        <w:t>Migren genetiği</w:t>
      </w:r>
      <w:bookmarkEnd w:id="14"/>
    </w:p>
    <w:p w:rsidR="00E659A9" w:rsidRDefault="00E659A9" w:rsidP="0046600F">
      <w:pPr>
        <w:pStyle w:val="METN"/>
      </w:pPr>
      <w:r>
        <w:t xml:space="preserve">Migren birçok durumda kalıtsal geçiş özelliğine sahip olan bir hastalıktır. Birçok benzer durumda olduğu gibi, migrenin de genetik yapısı kompleks olup, bazı kişilerde birden fazla genetik kaynağın aditif etkisinin sonucu oluşmaktadır. Migrene yatkın kişilerin sinir sisteminin farklı seviyelerinde olan eksitasyon ve inhibisyonu arasındaki dengelerin değişimi sonucunda akut atak oluşmaktadır. Bu grup kişilerde bu mekanizmayı sağlayan membran kanalları, reseptör grupları ve enzim sistemlerini etkileyen anormallikler sonucunda, migrenin atağının oluştuğu düşünülmektedir. Migrenin genetik altyapısı olduğu yaklaşık elli yıldır bilinmektedir </w:t>
      </w:r>
      <w:r>
        <w:rPr>
          <w:noProof/>
        </w:rPr>
        <w:t>[119]</w:t>
      </w:r>
      <w:r>
        <w:t xml:space="preserve">. Erken dönemlerde yapılmış bir toplum bazlı çalışmada, akrabasında migren olan kontrol grubundaki kişilerle akrabasında migreni olmayan kişiler kıyaslanmış;ilk grupta ikinciye oranla migren riskinin 3 kat yüksek olduğu gösterilmiştir </w:t>
      </w:r>
      <w:r>
        <w:rPr>
          <w:noProof/>
        </w:rPr>
        <w:t>[120]</w:t>
      </w:r>
      <w:r>
        <w:t xml:space="preserve">. Lakin daha sonrasında yapılmış analizlerde migren formlarına dair herhangi Mendelyen kalıtım paterni gösterilememiştir </w:t>
      </w:r>
      <w:r>
        <w:rPr>
          <w:noProof/>
        </w:rPr>
        <w:t>[121]</w:t>
      </w:r>
      <w:r>
        <w:t xml:space="preserve">. Yapılmış ulusal kayıtsal tabanlı ikiz çalışmasında, monozigotik ikizlerde dizigotik ikizlere oranla daha yüksek migren konkordansı gösterilmiştir. Multifaktoriyel polijenik modelle yapılmış bu çalışmada, araştırmacılar kişinin migrene yatkınlığında kalıtımının rolünü yaklaşık %40-50 olduğunu ortaya çıkarmışlar </w:t>
      </w:r>
      <w:r>
        <w:rPr>
          <w:noProof/>
        </w:rPr>
        <w:t>[122]</w:t>
      </w:r>
      <w:r>
        <w:t xml:space="preserve">. Bu polijenik özelliği nedeniyle yapılmış olan geniş genom ilişkili çalışmalarda (genome-wide association studies-GWAS) çok sayıda gen lokasyonunun migren ile ilişkisi gösterilebilmiştir </w:t>
      </w:r>
      <w:r>
        <w:rPr>
          <w:noProof/>
        </w:rPr>
        <w:t>[123]</w:t>
      </w:r>
      <w:r>
        <w:t>.</w:t>
      </w:r>
    </w:p>
    <w:p w:rsidR="00E659A9" w:rsidRDefault="00E659A9" w:rsidP="0046600F">
      <w:pPr>
        <w:pStyle w:val="METN"/>
      </w:pPr>
      <w:r>
        <w:t xml:space="preserve">Migrenin genel ve sık görülen formlarının (auralı ve aurasız migren) genetik altyapısı yapılan pekçok çalışmaya rağmen net olarak bilinmemektedir. Bununla beraber, iki gen migren ile ilişkili olabilecek aday genler olarak düşünülmektedirler. Bunlardan ilki TRESK potasyum kanalını kodlayan KCNK18 geni </w:t>
      </w:r>
      <w:r>
        <w:rPr>
          <w:noProof/>
        </w:rPr>
        <w:t>[124]</w:t>
      </w:r>
      <w:r>
        <w:t xml:space="preserve">, bir diğeri ise kazein kinaz I izoform deltayı kodlayan CSNK1D genidir </w:t>
      </w:r>
      <w:r>
        <w:rPr>
          <w:noProof/>
        </w:rPr>
        <w:t>[125]</w:t>
      </w:r>
      <w:r>
        <w:t xml:space="preserve">. Bunlar çok önemli gelişmeler olarak görülse de, sonraki raporlarda destekleyici bulgular ve kanıtlar yetersiz olarak gösterilmiştir. Bunlara bir örnek olarak GWAS metoduyla 27 aday geni ile ilgili yapılmış sistemik yeniden değerlendirmeyi göstermek mümkündür </w:t>
      </w:r>
      <w:r>
        <w:rPr>
          <w:noProof/>
        </w:rPr>
        <w:t>[126]</w:t>
      </w:r>
      <w:r>
        <w:t xml:space="preserve">. Bu çalışmada 5175 migren hastası ve 13972 kontrol birey alınmıştır. Aday genlerin hiçbirinin migren ile ilişkisine dair anlamlı bulgu saptanamamıştır. Bu </w:t>
      </w:r>
      <w:r>
        <w:lastRenderedPageBreak/>
        <w:t>yüzden de, migren patogenezine katılan aday lokus ve genler net olarak bilinmemektedir diyebiliriz.</w:t>
      </w:r>
    </w:p>
    <w:p w:rsidR="00E659A9" w:rsidRPr="00A7513B" w:rsidRDefault="00E659A9" w:rsidP="0046600F">
      <w:pPr>
        <w:pStyle w:val="METN"/>
        <w:rPr>
          <w:szCs w:val="24"/>
        </w:rPr>
      </w:pPr>
      <w:r>
        <w:rPr>
          <w:szCs w:val="24"/>
        </w:rPr>
        <w:t xml:space="preserve">Migrenin sık görülen formlarının </w:t>
      </w:r>
      <w:proofErr w:type="gramStart"/>
      <w:r>
        <w:rPr>
          <w:szCs w:val="24"/>
        </w:rPr>
        <w:t>kompleks</w:t>
      </w:r>
      <w:proofErr w:type="gramEnd"/>
      <w:r>
        <w:rPr>
          <w:szCs w:val="24"/>
        </w:rPr>
        <w:t xml:space="preserve"> genetik yönü olduğu düşünülmektedir. Bu, farklı genomik alanlardaki çok sayda genlerin tetikleyici faktörlerle etkileşerek, hastalığa yatkınlığı arttırdığını ve hastalığın gidişatını etkilediğini ifade etmektedir. Yapılmış genetik çalışmaların sonucu olarak herhangi genin saptanmamasının ise farklı nedenlerinin olduğu düşünülmektedir. Bunlardan en önemlisi, daha önceki yapılmış çalışmalarda, oransal olarak küçük </w:t>
      </w:r>
      <w:proofErr w:type="gramStart"/>
      <w:r>
        <w:rPr>
          <w:szCs w:val="24"/>
        </w:rPr>
        <w:t>popülasyonda</w:t>
      </w:r>
      <w:proofErr w:type="gramEnd"/>
      <w:r>
        <w:rPr>
          <w:szCs w:val="24"/>
        </w:rPr>
        <w:t xml:space="preserve"> gen polimorfizmine bakılmış olmasıdır. Bu durumda sadece bir grup kişilerde araştırılan genetik altyapı migrene neden olsa da, diğer kısımda bu ilişki gösterilememektedir. Genetik altyapının anlaşılmasının hastalığın tanınması ve yönetimi açısından önemli perspektifler kazandıracağı düşünülebilir.</w:t>
      </w:r>
    </w:p>
    <w:p w:rsidR="00E659A9" w:rsidRPr="00461F9A" w:rsidRDefault="0046600F" w:rsidP="0046600F">
      <w:pPr>
        <w:pStyle w:val="Balk2"/>
      </w:pPr>
      <w:bookmarkStart w:id="15" w:name="_Toc492677333"/>
      <w:r>
        <w:t xml:space="preserve">1.7. </w:t>
      </w:r>
      <w:r w:rsidR="00E659A9" w:rsidRPr="00461F9A">
        <w:t>Migren ve nörogörüntüleme</w:t>
      </w:r>
      <w:bookmarkEnd w:id="15"/>
    </w:p>
    <w:p w:rsidR="00E659A9" w:rsidRDefault="00E659A9" w:rsidP="0046600F">
      <w:pPr>
        <w:pStyle w:val="METN"/>
      </w:pPr>
      <w:r>
        <w:t xml:space="preserve">Migren primer baş ağrısı olduğundan tanı için görüntüleme </w:t>
      </w:r>
      <w:proofErr w:type="gramStart"/>
      <w:r>
        <w:t>kriteri</w:t>
      </w:r>
      <w:proofErr w:type="gramEnd"/>
      <w:r>
        <w:t xml:space="preserve"> yoktur. Bununla beraber, nörologlar ikincil başağrısı nedenlerini ekarte etmek amacıyla sıklıkla beyin MRG çektirirler. Bu MRG’lerde beyaz cevher hiperintens anormallikleri ile karakterize </w:t>
      </w:r>
      <w:r>
        <w:rPr>
          <w:noProof/>
        </w:rPr>
        <w:t>[127, 128]</w:t>
      </w:r>
      <w:r>
        <w:t xml:space="preserve"> ve enfarkt benzeri lezyonlar </w:t>
      </w:r>
      <w:r>
        <w:rPr>
          <w:noProof/>
        </w:rPr>
        <w:t>[129]</w:t>
      </w:r>
      <w:r>
        <w:t xml:space="preserve"> ile beynin hem beyaz hem de gri cevherinde volümetrik değişiklikler görülebilir </w:t>
      </w:r>
      <w:r>
        <w:rPr>
          <w:noProof/>
        </w:rPr>
        <w:t>[130, 131]</w:t>
      </w:r>
      <w:r>
        <w:t>. Bu nöro-görüntüleme bulgularının sebebi ve oluşma mekanizması net olarak bilinmemektedir.</w:t>
      </w:r>
    </w:p>
    <w:p w:rsidR="00E659A9" w:rsidRDefault="00E659A9" w:rsidP="0046600F">
      <w:pPr>
        <w:pStyle w:val="METN"/>
      </w:pPr>
      <w:r>
        <w:t xml:space="preserve">Beyindeki beyaz cevher lezyonları tipik olarak periventriküler ve derin beyaz cevherde yerleşen, birden fazla (multipl), küçük, punktat, kitle etkisi oluşturmayan, T2 ağırlıklı ve FLAIR sekanslarında hiperintens görülen lezyonlardır </w:t>
      </w:r>
      <w:r>
        <w:rPr>
          <w:noProof/>
        </w:rPr>
        <w:t>[132]</w:t>
      </w:r>
      <w:r w:rsidR="00AC50D2">
        <w:t>. Bu lezyonlar hem auralı (Resim</w:t>
      </w:r>
      <w:r>
        <w:t xml:space="preserve"> </w:t>
      </w:r>
      <w:r w:rsidR="00AC50D2">
        <w:t>1.</w:t>
      </w:r>
      <w:r>
        <w:t>2a), hem aurasız (</w:t>
      </w:r>
      <w:r w:rsidR="00AC50D2">
        <w:t xml:space="preserve">Resim </w:t>
      </w:r>
      <w:r>
        <w:t>2b) migrenlilerde görülmekte olup patolojisinin miyelin kaybı ve gliozis olduğu bilinmektedir.</w:t>
      </w:r>
    </w:p>
    <w:tbl>
      <w:tblPr>
        <w:tblW w:w="8222" w:type="dxa"/>
        <w:tblLook w:val="04A0" w:firstRow="1" w:lastRow="0" w:firstColumn="1" w:lastColumn="0" w:noHBand="0" w:noVBand="1"/>
      </w:tblPr>
      <w:tblGrid>
        <w:gridCol w:w="5812"/>
        <w:gridCol w:w="2410"/>
      </w:tblGrid>
      <w:tr w:rsidR="00E659A9" w:rsidTr="0046600F">
        <w:tc>
          <w:tcPr>
            <w:tcW w:w="5812" w:type="dxa"/>
          </w:tcPr>
          <w:p w:rsidR="00E659A9" w:rsidRDefault="00AC50D2" w:rsidP="001731FC">
            <w:pPr>
              <w:spacing w:line="360" w:lineRule="auto"/>
              <w:jc w:val="both"/>
              <w:rPr>
                <w:rFonts w:ascii="Arial" w:hAnsi="Arial" w:cs="Arial"/>
                <w:sz w:val="24"/>
                <w:szCs w:val="24"/>
              </w:rPr>
            </w:pPr>
            <w:r>
              <w:rPr>
                <w:rFonts w:ascii="Arial" w:hAnsi="Arial" w:cs="Arial"/>
                <w:sz w:val="24"/>
                <w:szCs w:val="24"/>
              </w:rPr>
              <w:lastRenderedPageBreak/>
              <w:t xml:space="preserve">A </w:t>
            </w:r>
            <w:r w:rsidR="00E659A9" w:rsidRPr="00CA407A">
              <w:rPr>
                <w:rFonts w:ascii="Arial" w:hAnsi="Arial" w:cs="Arial"/>
                <w:noProof/>
                <w:sz w:val="24"/>
                <w:szCs w:val="24"/>
                <w:lang w:eastAsia="tr-TR"/>
              </w:rPr>
              <w:drawing>
                <wp:inline distT="0" distB="0" distL="0" distR="0" wp14:anchorId="2F354276" wp14:editId="29437598">
                  <wp:extent cx="1549919" cy="18697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8723" cy="1904490"/>
                          </a:xfrm>
                          <a:prstGeom prst="rect">
                            <a:avLst/>
                          </a:prstGeom>
                          <a:noFill/>
                          <a:ln>
                            <a:noFill/>
                          </a:ln>
                        </pic:spPr>
                      </pic:pic>
                    </a:graphicData>
                  </a:graphic>
                </wp:inline>
              </w:drawing>
            </w:r>
            <w:r>
              <w:rPr>
                <w:rFonts w:ascii="Arial" w:hAnsi="Arial" w:cs="Arial"/>
                <w:sz w:val="24"/>
                <w:szCs w:val="24"/>
              </w:rPr>
              <w:t xml:space="preserve"> B </w:t>
            </w:r>
            <w:r w:rsidR="00E659A9" w:rsidRPr="00CA407A">
              <w:rPr>
                <w:rFonts w:ascii="Arial" w:hAnsi="Arial" w:cs="Arial"/>
                <w:noProof/>
                <w:sz w:val="24"/>
                <w:szCs w:val="24"/>
                <w:lang w:eastAsia="tr-TR"/>
              </w:rPr>
              <w:drawing>
                <wp:inline distT="0" distB="0" distL="0" distR="0" wp14:anchorId="1C03220F" wp14:editId="3F3E6B1F">
                  <wp:extent cx="1651380" cy="1866321"/>
                  <wp:effectExtent l="0" t="0" r="635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0022" cy="1921294"/>
                          </a:xfrm>
                          <a:prstGeom prst="rect">
                            <a:avLst/>
                          </a:prstGeom>
                          <a:noFill/>
                          <a:ln>
                            <a:noFill/>
                          </a:ln>
                        </pic:spPr>
                      </pic:pic>
                    </a:graphicData>
                  </a:graphic>
                </wp:inline>
              </w:drawing>
            </w:r>
          </w:p>
        </w:tc>
        <w:tc>
          <w:tcPr>
            <w:tcW w:w="2410" w:type="dxa"/>
          </w:tcPr>
          <w:p w:rsidR="00E659A9" w:rsidRPr="003511A3" w:rsidRDefault="00AC50D2" w:rsidP="0046600F">
            <w:pPr>
              <w:pStyle w:val="Resimler5"/>
            </w:pPr>
            <w:bookmarkStart w:id="16" w:name="_Toc492677200"/>
            <w:r>
              <w:rPr>
                <w:szCs w:val="24"/>
              </w:rPr>
              <w:t>Resim</w:t>
            </w:r>
            <w:r w:rsidR="00E659A9">
              <w:rPr>
                <w:szCs w:val="24"/>
              </w:rPr>
              <w:t xml:space="preserve"> </w:t>
            </w:r>
            <w:proofErr w:type="gramStart"/>
            <w:r>
              <w:rPr>
                <w:szCs w:val="24"/>
              </w:rPr>
              <w:t>1.</w:t>
            </w:r>
            <w:r w:rsidR="00DE5166">
              <w:rPr>
                <w:szCs w:val="24"/>
              </w:rPr>
              <w:t>3</w:t>
            </w:r>
            <w:proofErr w:type="gramEnd"/>
            <w:r w:rsidR="00E659A9">
              <w:rPr>
                <w:szCs w:val="24"/>
              </w:rPr>
              <w:t xml:space="preserve">. </w:t>
            </w:r>
            <w:r w:rsidR="00E659A9" w:rsidRPr="0046600F">
              <w:rPr>
                <w:b w:val="0"/>
                <w:szCs w:val="24"/>
              </w:rPr>
              <w:t xml:space="preserve">Beyin MRG: </w:t>
            </w:r>
            <w:r w:rsidR="00E659A9" w:rsidRPr="0046600F">
              <w:rPr>
                <w:b w:val="0"/>
              </w:rPr>
              <w:t>Auralı (a) ve aurasız (b) migren hastalarındaki tipik beyaz cevher lezyonları</w:t>
            </w:r>
            <w:bookmarkEnd w:id="16"/>
          </w:p>
          <w:p w:rsidR="00E659A9" w:rsidRDefault="00E659A9" w:rsidP="001731FC">
            <w:pPr>
              <w:spacing w:line="360" w:lineRule="auto"/>
              <w:jc w:val="both"/>
              <w:rPr>
                <w:rFonts w:ascii="Arial" w:hAnsi="Arial" w:cs="Arial"/>
                <w:sz w:val="24"/>
                <w:szCs w:val="24"/>
              </w:rPr>
            </w:pPr>
          </w:p>
        </w:tc>
      </w:tr>
    </w:tbl>
    <w:p w:rsidR="00E659A9" w:rsidRDefault="00E659A9" w:rsidP="00C20723">
      <w:pPr>
        <w:pStyle w:val="METN"/>
      </w:pPr>
      <w:r>
        <w:t xml:space="preserve">Beyaz cevher lezyonları sıklıkla serebrovasküler olaylar ve yaşlılıkla ilişkili olarak görülmektedir. CAMERA çalışmasında migrenli kişilerde subklinik beyin lezyonlarında artış gösterilmiştir. Özellikle arka sistem ilişkili enfarkt benzeri lezyonlar (serebellum enfarktları kontrol bireylerle kıyaslandığında 7 katı artış göstermektedir) ve infra-tentoryel lezyon (özellikle pons) prevalansında artış gösterilmiştir. Bu bulgular, yılda 12 ve üzerinde atak geçiren auralı migrenlilerde gösterilmiştir </w:t>
      </w:r>
      <w:r>
        <w:rPr>
          <w:noProof/>
        </w:rPr>
        <w:t>[133, 134]</w:t>
      </w:r>
      <w:r>
        <w:t xml:space="preserve">. Bu lezyonların takip görüntülemelerinde enfarkt gelişimi etiyolojide iskeminin rolünü düşündürtmektedir </w:t>
      </w:r>
      <w:r>
        <w:rPr>
          <w:noProof/>
        </w:rPr>
        <w:t>[135, 136]</w:t>
      </w:r>
      <w:r>
        <w:t xml:space="preserve">. Beyaz cevher lezyonlu kişilerde yapılmış fonksiyonel ve yapısal görüntülemeler beyin hasarının boyutu ve kortikal adaptif reorganizasyonu dökümente etmiştir. Özellikle, sadece motor komutlar sırasında sensorimotor ağı da içine alan fonksiyonel kortikal değişiklikler gösterilmiştir </w:t>
      </w:r>
      <w:r>
        <w:rPr>
          <w:noProof/>
        </w:rPr>
        <w:t>[137]</w:t>
      </w:r>
      <w:r>
        <w:t xml:space="preserve">. Daha önce belirtildiği gibi bu lezyonların mekanizması net bilinmese de, özellikle auralı migreni olan ve sık atak geçiren kişilerdeki fokal serebral hipoperfüzyonun altta yatan neden olabileceği üzerinde durulmaktadır . Migren atakları sırasında uzamış ve tekrarlayan oligemi sonucunda derin penetran arterlerin etkilendiği düşünülmektedir. Diğer mekanizmalar olarak ateroskleroza neden olan vasküler risk faktörleri </w:t>
      </w:r>
      <w:r>
        <w:rPr>
          <w:noProof/>
        </w:rPr>
        <w:t>[138, 139]</w:t>
      </w:r>
      <w:r>
        <w:t xml:space="preserve">, endotelyal disfonksiyon </w:t>
      </w:r>
      <w:r>
        <w:rPr>
          <w:noProof/>
        </w:rPr>
        <w:t>[140, 141]</w:t>
      </w:r>
      <w:r>
        <w:t xml:space="preserve">, migren ve inme açısından ortak genetik risk faktörleri </w:t>
      </w:r>
      <w:r>
        <w:rPr>
          <w:noProof/>
        </w:rPr>
        <w:t>[142]</w:t>
      </w:r>
      <w:r>
        <w:t xml:space="preserve"> ve baş ağrısını önlemek amacıyla kullanılan ilaçlara sekonder vazokonstriksiyon </w:t>
      </w:r>
      <w:r>
        <w:rPr>
          <w:noProof/>
        </w:rPr>
        <w:t>[143]</w:t>
      </w:r>
      <w:r>
        <w:t xml:space="preserve"> işaret edilmiştir. Endotelyal disfonksiyonun (endotelyal aktivasyon ve bozulmuş vasküler reaktivite) hem sebep, hem de sonuç olabileceği düşünülmektedir. Migrenli kişilerde oksidatif stress belirteçlerinin artmış olduğu da gösterilmiştir. Bu endotelyal değişikliklere </w:t>
      </w:r>
      <w:r>
        <w:lastRenderedPageBreak/>
        <w:t xml:space="preserve">trombosit aggregasyonu eşlik ederse mikrovaskülerbeyaz cevher lezyon gelişiminin sık olması anlaşılabilir </w:t>
      </w:r>
      <w:r>
        <w:rPr>
          <w:noProof/>
        </w:rPr>
        <w:t>[144]</w:t>
      </w:r>
      <w:r>
        <w:t>.</w:t>
      </w:r>
    </w:p>
    <w:p w:rsidR="00E659A9" w:rsidRDefault="00E659A9" w:rsidP="00C20723">
      <w:pPr>
        <w:pStyle w:val="METN"/>
        <w:rPr>
          <w:szCs w:val="24"/>
        </w:rPr>
      </w:pPr>
      <w:r>
        <w:rPr>
          <w:szCs w:val="24"/>
        </w:rPr>
        <w:t xml:space="preserve">Çok sayıda yapılmış populasyontabanlı görüntüleme çalışmalarında auralı migreni olan kadınlarda subklinik enfarkt benzeri değişikliklerin sıklığının arttığı gösterilmiştir </w:t>
      </w:r>
      <w:r>
        <w:rPr>
          <w:noProof/>
          <w:szCs w:val="24"/>
        </w:rPr>
        <w:t>[145, 146]</w:t>
      </w:r>
      <w:r>
        <w:rPr>
          <w:szCs w:val="24"/>
        </w:rPr>
        <w:t xml:space="preserve">. Yapılmış çalışmalarda hem infratentoryal (özellikle serebellum) </w:t>
      </w:r>
      <w:r>
        <w:rPr>
          <w:noProof/>
          <w:szCs w:val="24"/>
        </w:rPr>
        <w:t>[147]</w:t>
      </w:r>
      <w:r>
        <w:rPr>
          <w:szCs w:val="24"/>
        </w:rPr>
        <w:t xml:space="preserve">, hem supratentoryal alanlarda lezyonlar gösterilmiştir </w:t>
      </w:r>
      <w:r>
        <w:rPr>
          <w:noProof/>
          <w:szCs w:val="24"/>
        </w:rPr>
        <w:t>[146]</w:t>
      </w:r>
      <w:r w:rsidDel="000F3348">
        <w:rPr>
          <w:szCs w:val="24"/>
        </w:rPr>
        <w:t xml:space="preserve"> </w:t>
      </w:r>
      <w:r>
        <w:rPr>
          <w:szCs w:val="24"/>
        </w:rPr>
        <w:t xml:space="preserve">Migrenli kişilerde bu beyaz cevher lezyonlarının mekanizmasının yanı sıra klinik önemi de net olarak bilinmemektedir. Beyaz cevher lezyonları olan migrenli kişilerde herhangi kognitif etkilenme gösterilmemiştir </w:t>
      </w:r>
      <w:r>
        <w:rPr>
          <w:noProof/>
          <w:szCs w:val="24"/>
        </w:rPr>
        <w:t>[146, 148]</w:t>
      </w:r>
      <w:r>
        <w:rPr>
          <w:szCs w:val="24"/>
        </w:rPr>
        <w:t xml:space="preserve">. Yapılmış multimodal MRG incelemelerinde beyaz cevher lezyonlarının iskemik beyin lezyonlarına benzer fizik özelliklerine sahip olduğu gösterilse de, bu hipotezi destekleyecek herhangi histopatolojik kanıt bulunmamaktadır </w:t>
      </w:r>
      <w:r>
        <w:rPr>
          <w:noProof/>
          <w:szCs w:val="24"/>
        </w:rPr>
        <w:t>[149]</w:t>
      </w:r>
      <w:r>
        <w:rPr>
          <w:szCs w:val="24"/>
        </w:rPr>
        <w:t xml:space="preserve">. Yapılmış bir DTI çalışmasında, sıvı hareketinin kısıtlanmasını gösteren fraksiyonel anizotropi (FA) değerinin beyaz cevher yolakları boyunca azaldığı gösterilmiştir. Aurasız migren hastalarında FA değerinin korpus kallozum, internal kapsül ve talamus gibi beyaz cevher yolakları lokalizasyonlarda daha düşük olduğu gösterilmiştir </w:t>
      </w:r>
      <w:r>
        <w:rPr>
          <w:noProof/>
          <w:szCs w:val="24"/>
        </w:rPr>
        <w:t>[150, 151]</w:t>
      </w:r>
      <w:r>
        <w:rPr>
          <w:szCs w:val="24"/>
        </w:rPr>
        <w:t xml:space="preserve">. Dikkati çeken bir diğer çalışmada migrenlilerde kontrol bireylere göre talamus FA değerinin atak döneminde değil, atak arası dönemlerde arttığı gösterilmiştir </w:t>
      </w:r>
      <w:r>
        <w:rPr>
          <w:noProof/>
          <w:szCs w:val="24"/>
        </w:rPr>
        <w:t>[152]</w:t>
      </w:r>
      <w:r>
        <w:rPr>
          <w:szCs w:val="24"/>
        </w:rPr>
        <w:t xml:space="preserve">. Bu da talamusta elektrofizyolojik olarak gösterilmiş atak başlangıcı ile normalize olan yüksek frekanslı ossilasyonların nörogörüntüleme karşılığı olabileceği düşünülmektedir </w:t>
      </w:r>
      <w:r>
        <w:rPr>
          <w:noProof/>
          <w:szCs w:val="24"/>
        </w:rPr>
        <w:t>[153]</w:t>
      </w:r>
      <w:r>
        <w:rPr>
          <w:szCs w:val="24"/>
        </w:rPr>
        <w:t>.</w:t>
      </w:r>
    </w:p>
    <w:p w:rsidR="00E659A9" w:rsidRDefault="00E659A9" w:rsidP="00C20723">
      <w:pPr>
        <w:pStyle w:val="METN"/>
        <w:rPr>
          <w:szCs w:val="24"/>
        </w:rPr>
      </w:pPr>
      <w:r>
        <w:rPr>
          <w:szCs w:val="24"/>
        </w:rPr>
        <w:t xml:space="preserve">Gri maddedeki değişiklikleri ölçmenin birkaç metodu var. En sık kullanılanı voksel </w:t>
      </w:r>
      <w:proofErr w:type="gramStart"/>
      <w:r>
        <w:rPr>
          <w:szCs w:val="24"/>
        </w:rPr>
        <w:t>bazlı</w:t>
      </w:r>
      <w:proofErr w:type="gramEnd"/>
      <w:r>
        <w:rPr>
          <w:szCs w:val="24"/>
        </w:rPr>
        <w:t xml:space="preserve"> morfometri (VBM) tekniğidir. Bu teknikle beynin herhangi bir kısmının (gri ve beyaz cevher) dansite ve </w:t>
      </w:r>
      <w:proofErr w:type="gramStart"/>
      <w:r>
        <w:rPr>
          <w:szCs w:val="24"/>
        </w:rPr>
        <w:t>volümünü</w:t>
      </w:r>
      <w:proofErr w:type="gramEnd"/>
      <w:r>
        <w:rPr>
          <w:szCs w:val="24"/>
        </w:rPr>
        <w:t xml:space="preserve"> sayısallaştırmak mümkündür. Yüzey </w:t>
      </w:r>
      <w:proofErr w:type="gramStart"/>
      <w:r>
        <w:rPr>
          <w:szCs w:val="24"/>
        </w:rPr>
        <w:t>bazlı</w:t>
      </w:r>
      <w:proofErr w:type="gramEnd"/>
      <w:r>
        <w:rPr>
          <w:szCs w:val="24"/>
        </w:rPr>
        <w:t xml:space="preserve"> morfometrik metotla kortikal kalınlık ve yüzey alanını hesaplamak mümkündür. Korteks kalınlığı bu teknik yoluyla pial yüzey ile gri-beyaz cevher bileşkesi arasındaki mesafeyi hesaplar. Yüzey alanıysa korteksteki kıvrımlaşmayı göstermektedir.</w:t>
      </w:r>
      <w:r w:rsidDel="00FE168D">
        <w:rPr>
          <w:szCs w:val="24"/>
        </w:rPr>
        <w:t xml:space="preserve"> </w:t>
      </w:r>
      <w:r>
        <w:rPr>
          <w:szCs w:val="24"/>
        </w:rPr>
        <w:t xml:space="preserve">Voksel </w:t>
      </w:r>
      <w:proofErr w:type="gramStart"/>
      <w:r>
        <w:rPr>
          <w:szCs w:val="24"/>
        </w:rPr>
        <w:t>bazlı</w:t>
      </w:r>
      <w:proofErr w:type="gramEnd"/>
      <w:r>
        <w:rPr>
          <w:szCs w:val="24"/>
        </w:rPr>
        <w:t xml:space="preserve"> morfometri tetkiği ile migrenlilerde beyaz cevher lezyonlarından bağımsız olarak frontal, temporal ve pariyetal loblarda gri cevher dansitesinin azaldığı ortaya çıkmıştır </w:t>
      </w:r>
      <w:r>
        <w:rPr>
          <w:noProof/>
          <w:szCs w:val="24"/>
        </w:rPr>
        <w:t>[130, 154]</w:t>
      </w:r>
      <w:r>
        <w:rPr>
          <w:szCs w:val="24"/>
        </w:rPr>
        <w:t xml:space="preserve">. Bununla beraber aynı teknikle yapılmış çalışmalar sonucu ağrıyla </w:t>
      </w:r>
      <w:r>
        <w:rPr>
          <w:szCs w:val="24"/>
        </w:rPr>
        <w:lastRenderedPageBreak/>
        <w:t xml:space="preserve">ilişkili nosiseptif sistemin önemli alanları olan anterior singulat korteks, insula ve limbik sistemde gri cevherin belirgin derecede azaldığı gösterilmiştir </w:t>
      </w:r>
      <w:r>
        <w:rPr>
          <w:noProof/>
          <w:szCs w:val="24"/>
        </w:rPr>
        <w:t>[131, 154-156]</w:t>
      </w:r>
      <w:r>
        <w:rPr>
          <w:szCs w:val="24"/>
        </w:rPr>
        <w:t xml:space="preserve">. Gri cevherdeki </w:t>
      </w:r>
      <w:proofErr w:type="gramStart"/>
      <w:r>
        <w:rPr>
          <w:szCs w:val="24"/>
        </w:rPr>
        <w:t>kantitatif</w:t>
      </w:r>
      <w:proofErr w:type="gramEnd"/>
      <w:r>
        <w:rPr>
          <w:szCs w:val="24"/>
        </w:rPr>
        <w:t xml:space="preserve"> değişikliğin atak süresi ve frekansını etkilediği görülmektedir. Hastalığın süresine göre, özellikle sol dorsal anterior singulat korteks </w:t>
      </w:r>
      <w:r>
        <w:rPr>
          <w:noProof/>
          <w:szCs w:val="24"/>
        </w:rPr>
        <w:t>[157]</w:t>
      </w:r>
      <w:r>
        <w:rPr>
          <w:szCs w:val="24"/>
        </w:rPr>
        <w:t xml:space="preserve">, kaudat nukleus ve nukleus accumbensin </w:t>
      </w:r>
      <w:proofErr w:type="gramStart"/>
      <w:r>
        <w:rPr>
          <w:szCs w:val="24"/>
        </w:rPr>
        <w:t>volümünde</w:t>
      </w:r>
      <w:proofErr w:type="gramEnd"/>
      <w:r>
        <w:rPr>
          <w:szCs w:val="24"/>
        </w:rPr>
        <w:t xml:space="preserve"> azalma saptanmaktadır </w:t>
      </w:r>
      <w:r>
        <w:rPr>
          <w:noProof/>
          <w:szCs w:val="24"/>
        </w:rPr>
        <w:t>[158]</w:t>
      </w:r>
      <w:r>
        <w:rPr>
          <w:szCs w:val="24"/>
        </w:rPr>
        <w:t xml:space="preserve">. Gri cevherdeki azalmayla beraber, periakuaduktal gri alanda gri cevher yoğunluğunun artışı gösterilmiştir </w:t>
      </w:r>
      <w:r>
        <w:rPr>
          <w:noProof/>
          <w:szCs w:val="24"/>
        </w:rPr>
        <w:t>[130]</w:t>
      </w:r>
      <w:r>
        <w:rPr>
          <w:szCs w:val="24"/>
        </w:rPr>
        <w:t xml:space="preserve">. Kortikal kalınlığın beynin farklı alanlarında hem artış, hem azalmasına göre yayılımı ve bunun auralı migrenlilerdeözellikle belirgin olduğu gösterilmiştir </w:t>
      </w:r>
      <w:r>
        <w:rPr>
          <w:noProof/>
          <w:szCs w:val="24"/>
        </w:rPr>
        <w:t>[159]</w:t>
      </w:r>
      <w:r>
        <w:rPr>
          <w:szCs w:val="24"/>
        </w:rPr>
        <w:t xml:space="preserve">. Özellikle, görsel auralı migrenli kişilerde aurasız migrenli ve kontrol bireylere göre, bu </w:t>
      </w:r>
      <w:proofErr w:type="gramStart"/>
      <w:r>
        <w:rPr>
          <w:szCs w:val="24"/>
        </w:rPr>
        <w:t>fenomenin</w:t>
      </w:r>
      <w:proofErr w:type="gramEnd"/>
      <w:r>
        <w:rPr>
          <w:szCs w:val="24"/>
        </w:rPr>
        <w:t xml:space="preserve"> oluşmasının nedeni olarak sol lingual girusun gri cevherindeki artış gösterilmiştir </w:t>
      </w:r>
      <w:r>
        <w:rPr>
          <w:noProof/>
          <w:szCs w:val="24"/>
        </w:rPr>
        <w:t>[160]</w:t>
      </w:r>
      <w:r>
        <w:rPr>
          <w:szCs w:val="24"/>
        </w:rPr>
        <w:t xml:space="preserve">. Bir diğer görsel auralı migrenli kişilerde yapılmış multiparametrik MRG çalışmasında ise aurasız ve kontrol bireylere göre çok sayıdaki talamik nukleusta mikrostrüktürel değişikliklerin varlığı ortaya konmuştur </w:t>
      </w:r>
      <w:r>
        <w:rPr>
          <w:noProof/>
          <w:szCs w:val="24"/>
        </w:rPr>
        <w:t>[161]</w:t>
      </w:r>
      <w:r>
        <w:rPr>
          <w:szCs w:val="24"/>
        </w:rPr>
        <w:t xml:space="preserve">. Bu çalışmalar aslında auralı migrenin ayrı bir antite olmakla beraber, oradaki strukturel değişikliklerin farklı olduğunu göstermektedir. Gri cevher değişikliklerinin net mekanizması bilinmese de, sık migren ataklarının sonucunda gri cevherde azalmanın oluştuğu düşünülmektedir. Gri cevherdeki artışsa, migren ataklarıyla ilişkili artmış afferent inputlara bağlı olarak geliştiği düşünülmektedir. Elimizde yeterli longitudinal veri olmadığı için bu tip değişikliklerin fonksiyondaki değişikliklerle ilişkili olduğu düşünülmektedir. Bu yüzden bunların kalıcı veya progresif olmadığı düşünülür. Verilen repetetif ağrı stimülasyonunun kesilmesi </w:t>
      </w:r>
      <w:r>
        <w:rPr>
          <w:noProof/>
          <w:szCs w:val="24"/>
        </w:rPr>
        <w:t>[162]</w:t>
      </w:r>
      <w:r>
        <w:rPr>
          <w:szCs w:val="24"/>
        </w:rPr>
        <w:t xml:space="preserve"> veya osteoartritli hastalarda eklem değişikliği sonrası </w:t>
      </w:r>
      <w:r>
        <w:rPr>
          <w:noProof/>
          <w:szCs w:val="24"/>
        </w:rPr>
        <w:t>[163]</w:t>
      </w:r>
      <w:r>
        <w:rPr>
          <w:szCs w:val="24"/>
        </w:rPr>
        <w:t xml:space="preserve">, gri cevherde alanlara göre olan artış ve azalmanın normalize olduğu izlenmesi bu hipotezi desteklemektedir. </w:t>
      </w:r>
    </w:p>
    <w:p w:rsidR="00E659A9" w:rsidRDefault="00E659A9" w:rsidP="00C20723">
      <w:pPr>
        <w:pStyle w:val="METN"/>
      </w:pPr>
      <w:r>
        <w:t xml:space="preserve">Migren atağı sırasında yapılmış görev tabanlı </w:t>
      </w:r>
      <w:r w:rsidRPr="00461F9A">
        <w:t>(“Task-based”)</w:t>
      </w:r>
      <w:r>
        <w:t xml:space="preserve"> fonksiyonel MRG (fMRI) tetkiğinde dorsal pons, mezensefalon, anterior singulat korteks, insula ve prefrontal kortekste yaygın aktivasyon olduğu gösterilmiştir </w:t>
      </w:r>
      <w:r>
        <w:rPr>
          <w:noProof/>
        </w:rPr>
        <w:t>[164, 165]</w:t>
      </w:r>
      <w:r>
        <w:t xml:space="preserve">. Ataklar sırasında hipotalamusun aktivasyonu daha önce gösterilse de </w:t>
      </w:r>
      <w:r>
        <w:rPr>
          <w:noProof/>
        </w:rPr>
        <w:t>[166]</w:t>
      </w:r>
      <w:r>
        <w:t xml:space="preserve">, sonraki dönemde yapılmış çalışmalarda ayrıca premonitor dönemde de hipotalamusun aktive olduğugösterilmiştir </w:t>
      </w:r>
      <w:r>
        <w:rPr>
          <w:noProof/>
        </w:rPr>
        <w:t>[167]</w:t>
      </w:r>
      <w:r>
        <w:t xml:space="preserve">. </w:t>
      </w:r>
      <w:r>
        <w:lastRenderedPageBreak/>
        <w:t xml:space="preserve">Migrenli ve kontrol bireylere ağrılı ısı stimülasyonu verilerek fonksiyonel görüntüleme yapılan bir çalışmada migrenlilerde interiktal dönemde orta singulat korteks ve hippokampusta daha yüksek dereceli aktivasyon gösterilmiş olup, bunun atak frekansı ile ilişkili olduğu ortaya çıkmıştır </w:t>
      </w:r>
      <w:r>
        <w:rPr>
          <w:noProof/>
        </w:rPr>
        <w:t>[168]</w:t>
      </w:r>
      <w:r>
        <w:t xml:space="preserve">. Az sayıda migren atağı olan bireylerde ık sık atak geçrenlere oranla hippokampüsün deaktivasyonunu gösteren çalışmalar da mevcuttur </w:t>
      </w:r>
      <w:r>
        <w:rPr>
          <w:noProof/>
        </w:rPr>
        <w:t>[169]</w:t>
      </w:r>
      <w:r>
        <w:t xml:space="preserve">. Diğer bir ağrılı ısı stimülasyonu ile yapılan çalışmada frekansa bağlı olarak postsantral girus, orta singulat korteks ve insula gri cevher volumetrik değişiklikler gösterilmiştir </w:t>
      </w:r>
      <w:r>
        <w:rPr>
          <w:noProof/>
        </w:rPr>
        <w:t>[170]</w:t>
      </w:r>
      <w:r>
        <w:t>.</w:t>
      </w:r>
    </w:p>
    <w:p w:rsidR="00E659A9" w:rsidRDefault="00E659A9" w:rsidP="00C20723">
      <w:pPr>
        <w:pStyle w:val="METN"/>
        <w:rPr>
          <w:szCs w:val="24"/>
        </w:rPr>
      </w:pPr>
      <w:r>
        <w:rPr>
          <w:szCs w:val="24"/>
        </w:rPr>
        <w:t xml:space="preserve">Difüzyon ağırlıklı ve traktografi manyetik </w:t>
      </w:r>
      <w:proofErr w:type="gramStart"/>
      <w:r>
        <w:rPr>
          <w:szCs w:val="24"/>
        </w:rPr>
        <w:t>rezonans</w:t>
      </w:r>
      <w:proofErr w:type="gramEnd"/>
      <w:r>
        <w:rPr>
          <w:szCs w:val="24"/>
        </w:rPr>
        <w:t xml:space="preserve"> tetkikleri ile beyin hasarının varlığı gösterilebilmektedir. Görsel auralı kişilerde selektif olarak optik radyasyonların hasarı dökümente edilmiştir </w:t>
      </w:r>
      <w:r>
        <w:rPr>
          <w:noProof/>
          <w:szCs w:val="24"/>
        </w:rPr>
        <w:t>[171]</w:t>
      </w:r>
      <w:r>
        <w:rPr>
          <w:szCs w:val="24"/>
        </w:rPr>
        <w:t xml:space="preserve">. MRG ile migrenli ve kontrol bireylerde beyinde demir birikiminin farklı oluğu migrenlilerde santral ağrı oluşumu ile ilişkili derin nukleuslarda demir birikimi veya demir miktarında artış bulunduğu gösterilmiştir. Bu da demir birikiminin bu anti-nosiseptif şebekeyi bozarak ileride kronik migrene yatkınlığı kolaylaştırabileceğini düşündürmektedir </w:t>
      </w:r>
      <w:r>
        <w:rPr>
          <w:noProof/>
          <w:szCs w:val="24"/>
        </w:rPr>
        <w:t>[172]</w:t>
      </w:r>
      <w:r>
        <w:rPr>
          <w:szCs w:val="24"/>
        </w:rPr>
        <w:t xml:space="preserve">. </w:t>
      </w:r>
    </w:p>
    <w:p w:rsidR="00E659A9" w:rsidRPr="00461F9A" w:rsidRDefault="00C20723" w:rsidP="00C20723">
      <w:pPr>
        <w:pStyle w:val="Balk2"/>
      </w:pPr>
      <w:bookmarkStart w:id="17" w:name="_Toc492677334"/>
      <w:r>
        <w:t xml:space="preserve">1.8. </w:t>
      </w:r>
      <w:r w:rsidR="00E659A9" w:rsidRPr="00461F9A">
        <w:t>Migren ve PFO</w:t>
      </w:r>
      <w:bookmarkEnd w:id="17"/>
    </w:p>
    <w:p w:rsidR="00E659A9" w:rsidRDefault="00E659A9" w:rsidP="001731FC">
      <w:pPr>
        <w:spacing w:line="360" w:lineRule="auto"/>
        <w:ind w:firstLine="567"/>
        <w:jc w:val="both"/>
        <w:rPr>
          <w:rFonts w:ascii="Arial" w:hAnsi="Arial" w:cs="Arial"/>
          <w:sz w:val="24"/>
          <w:szCs w:val="24"/>
        </w:rPr>
      </w:pPr>
      <w:r>
        <w:rPr>
          <w:rFonts w:ascii="Arial" w:hAnsi="Arial" w:cs="Arial"/>
          <w:sz w:val="24"/>
          <w:szCs w:val="24"/>
        </w:rPr>
        <w:t xml:space="preserve">Foramen ovale fetal döneminde sırasında sağ ve sol atriumlar arasında geçişi sağlamaktadır. Doğum sırasında akciğer basıncının azalması üzerine sol atrium içi basınç artar ve sağ atriumdaki basınçtan daha yüksek olur. Bu basınç farkı sonucunda foramen ovale fonksiyonel olarak kapanır. Toplumun yaklaşık %20-25’de kapanma tam olarak gerçekleşmez (patent foramen ovale-PFO) ki, bunun sonucunda kan ya sürekli sağ atriumdan sol atriuma geçer (sağdan sola şant) ya da Valsalva manevrası gibi sağ atrium basıncını artıran durumlarda geçici olarak bu geçiş oluşur. PFO sağdan sola şantın en sık (yaklaşık %95) görülen şeklidir </w:t>
      </w:r>
      <w:r>
        <w:rPr>
          <w:rFonts w:ascii="Arial" w:hAnsi="Arial" w:cs="Arial"/>
          <w:noProof/>
          <w:sz w:val="24"/>
          <w:szCs w:val="24"/>
        </w:rPr>
        <w:t>[173]</w:t>
      </w:r>
      <w:r>
        <w:rPr>
          <w:rFonts w:ascii="Arial" w:hAnsi="Arial" w:cs="Arial"/>
          <w:sz w:val="24"/>
          <w:szCs w:val="24"/>
        </w:rPr>
        <w:t xml:space="preserve">. PFO çoğunlukla asemptomatik olsa da bazı durumlarda kriptojenik inmelerin bir kısmında potansiyel neden olabileceği düşünülmektedir </w:t>
      </w:r>
      <w:r>
        <w:rPr>
          <w:rFonts w:ascii="Arial" w:hAnsi="Arial" w:cs="Arial"/>
          <w:noProof/>
          <w:sz w:val="24"/>
          <w:szCs w:val="24"/>
        </w:rPr>
        <w:t>[174]</w:t>
      </w:r>
      <w:r>
        <w:rPr>
          <w:rFonts w:ascii="Arial" w:hAnsi="Arial" w:cs="Arial"/>
          <w:sz w:val="24"/>
          <w:szCs w:val="24"/>
        </w:rPr>
        <w:t xml:space="preserve">. </w:t>
      </w:r>
    </w:p>
    <w:p w:rsidR="00E659A9" w:rsidRDefault="00E659A9" w:rsidP="00C20723">
      <w:pPr>
        <w:pStyle w:val="METN"/>
      </w:pPr>
      <w:r>
        <w:t xml:space="preserve">PFO ve auralı migren ilişkisi ilk kez Del Sette ve arkadaşları tarafından 1998 yılında işaret edilmiştir </w:t>
      </w:r>
      <w:r>
        <w:rPr>
          <w:noProof/>
        </w:rPr>
        <w:t>[175]</w:t>
      </w:r>
      <w:r>
        <w:t xml:space="preserve">. Ancak bu ilişki birçok soruyu da </w:t>
      </w:r>
      <w:r>
        <w:lastRenderedPageBreak/>
        <w:t>beraberinde getirmiştir. PFO’nun migren atağı tetikleyicisi olup olmadığı, bunun migren atağını oluşturma mekanizması, migrenli kişilerde PFO’un inme açısından risk oluşturması ve nihayetinde migrenli kişilerde PFO’un kapatılmasının gerekip gerekmediği bu sorulardan birkaçıdır.</w:t>
      </w:r>
    </w:p>
    <w:p w:rsidR="00E659A9" w:rsidRDefault="00E659A9" w:rsidP="00C20723">
      <w:pPr>
        <w:pStyle w:val="METN"/>
      </w:pPr>
      <w:r>
        <w:t xml:space="preserve">PFO varlığını transtorasik ekokardiografi (TTE), transözofageal ekokardiografi (TEE) ve havayla ajite edilmiş fizyolojik sıvı </w:t>
      </w:r>
      <w:proofErr w:type="gramStart"/>
      <w:r>
        <w:t>enjeksiyonu</w:t>
      </w:r>
      <w:proofErr w:type="gramEnd"/>
      <w:r>
        <w:t xml:space="preserve"> sonrası transkranial Doppler (TCD) ile saptamak mümkündür. Valsalva manevrası yapılması kısa süreli olarak sağ atrium basıncını artırarak latent PFO’nin saptanması açısından önemlidir. Sağdan sola şant istirahatte olabileceği gibi sadece Valsalva manevrasını takiben de görülebilir. Şantın derecesi sıklıkla geçiş yapan mikrokabarcık (“microbubble”: “MB”)  sayısıyla belirlenmektedir. TEE sağdan sola şantın değerlendirilmesi açısından “altın standart” olarak kabûl edilmeye devam etmektedir </w:t>
      </w:r>
      <w:r>
        <w:rPr>
          <w:noProof/>
        </w:rPr>
        <w:t>[176]</w:t>
      </w:r>
      <w:r>
        <w:t xml:space="preserve">. TCD ise PFO tespiti için çok yüksek duyarlılığa sahip oldukça noninvazif bir tarama yöntemidir </w:t>
      </w:r>
      <w:r>
        <w:rPr>
          <w:noProof/>
        </w:rPr>
        <w:t>[177]</w:t>
      </w:r>
      <w:r>
        <w:t xml:space="preserve">. Yapılmış çalışmalarda genellikle PFO prevalansının auralı migrenliler ile genç iskemik inmelerde normal bireylere göre daha yüksek olduğu görülmektedir </w:t>
      </w:r>
      <w:r>
        <w:rPr>
          <w:noProof/>
        </w:rPr>
        <w:t>[175]</w:t>
      </w:r>
      <w:r>
        <w:t xml:space="preserve">. Dokuz farklı çalışmayı içine alan bir derlemede PFO auralı migrenlilerin % 57’sinde, kontrol bireylerin ise sadece %19’unda görülmüştür. Aurasız migreni olan kişilerin PFO prevalansı kontrol bireylerden farklı değildir </w:t>
      </w:r>
      <w:r>
        <w:rPr>
          <w:noProof/>
        </w:rPr>
        <w:t>[178]</w:t>
      </w:r>
      <w:r>
        <w:t xml:space="preserve">. PFO ve migren ilişkisi iki yönlüdür. PFO’su olan kişilerde auralı migren daha sık olup; “Odds Ratio” (OR) değerinin 5,13 (95 % Güven aralığı-GA: 4,67 - 5,59) olduğu </w:t>
      </w:r>
      <w:r>
        <w:rPr>
          <w:noProof/>
        </w:rPr>
        <w:t>[179]</w:t>
      </w:r>
      <w:r>
        <w:t xml:space="preserve"> ve prevalans değerinin %9,13-51,7 arasında değiştiği gösterilmiştir </w:t>
      </w:r>
      <w:r>
        <w:rPr>
          <w:noProof/>
        </w:rPr>
        <w:t>[180]</w:t>
      </w:r>
      <w:r>
        <w:t xml:space="preserve">. PFO’un derecesi ile korele olarak migren olasılığının arttığı gösterilmiştir. Yapılmış çalışmalarda daha öncekilerde gösterildiği gibi aurasız migrenin kontrol bireylerle benzer prevalansı saptanmış olup, auralı migrenlilerde PFO’un derecesinin daha yüksek olduğu </w:t>
      </w:r>
      <w:r>
        <w:rPr>
          <w:noProof/>
        </w:rPr>
        <w:t>[181, 182]</w:t>
      </w:r>
      <w:r>
        <w:t xml:space="preserve"> ve bu kişilerde TCD ile sağdan sola geçişin de yüksek dereceli olduğu gösterilmiştir </w:t>
      </w:r>
      <w:r>
        <w:rPr>
          <w:noProof/>
        </w:rPr>
        <w:t>[183]</w:t>
      </w:r>
      <w:r>
        <w:t>.</w:t>
      </w:r>
    </w:p>
    <w:p w:rsidR="00E659A9" w:rsidRDefault="00E659A9" w:rsidP="001731FC">
      <w:pPr>
        <w:spacing w:line="360" w:lineRule="auto"/>
        <w:ind w:firstLine="567"/>
        <w:jc w:val="both"/>
        <w:rPr>
          <w:rFonts w:ascii="Arial" w:hAnsi="Arial" w:cs="Arial"/>
          <w:sz w:val="24"/>
          <w:szCs w:val="24"/>
        </w:rPr>
      </w:pPr>
      <w:r>
        <w:rPr>
          <w:rFonts w:ascii="Arial" w:hAnsi="Arial" w:cs="Arial"/>
          <w:sz w:val="24"/>
          <w:szCs w:val="24"/>
        </w:rPr>
        <w:t xml:space="preserve">PFO ve migren ilişkisinin mekanizmasına dair açıklamalar henüz </w:t>
      </w:r>
      <w:proofErr w:type="gramStart"/>
      <w:r>
        <w:rPr>
          <w:rFonts w:ascii="Arial" w:hAnsi="Arial" w:cs="Arial"/>
          <w:sz w:val="24"/>
          <w:szCs w:val="24"/>
        </w:rPr>
        <w:t>spekülatif</w:t>
      </w:r>
      <w:proofErr w:type="gramEnd"/>
      <w:r>
        <w:rPr>
          <w:rFonts w:ascii="Arial" w:hAnsi="Arial" w:cs="Arial"/>
          <w:sz w:val="24"/>
          <w:szCs w:val="24"/>
        </w:rPr>
        <w:t xml:space="preserve"> seviyededir. Bu ilişkinin bir sebep-sonuç ilişkisi mi yoksa sadece rastlantısal bir birliktelik mi olduğu tartışılmaya devam eden ve henüz net bir konsensûsa ulaşılamamış olan bir konudur.</w:t>
      </w:r>
    </w:p>
    <w:p w:rsidR="00E659A9" w:rsidRDefault="00E659A9" w:rsidP="00C20723">
      <w:pPr>
        <w:pStyle w:val="METN"/>
      </w:pPr>
      <w:r>
        <w:lastRenderedPageBreak/>
        <w:t xml:space="preserve">Geniş PFO ve auralı migrenin bazı ailelerde artan beraber görülme sıklığı sebep sonuç ilişkisinden çok komorbidite olasılığını işaret etmektedir. Sağdan sola geçişi ve auralı migreni olan kişilerin PFO’su olan birinci derece akrabalarının %70’inde auralı migren olduğu gösterilmiştir. Uzmanlar bu ailelerde otozomal dominant geçişin olduğunu ve genetik olarak düzenlenen endotelyal-endokardiyal disfonksiyonun atrial septal anormalliklerle migrenin birlikteliğini açıklayabileceğini düşünmektedirler </w:t>
      </w:r>
      <w:r>
        <w:rPr>
          <w:noProof/>
        </w:rPr>
        <w:t>[184]</w:t>
      </w:r>
      <w:r>
        <w:t xml:space="preserve">. Bununla beraber, daha önce belirtildiği üzere PFO derecesi ile beraber auralı migrenin görülme sıklığının artması sebep sonuç ilişkisi lehinedir </w:t>
      </w:r>
      <w:r>
        <w:rPr>
          <w:noProof/>
        </w:rPr>
        <w:t>[181-183]</w:t>
      </w:r>
      <w:r>
        <w:t xml:space="preserve">. Paradoksikal (sağdan sola şant ile) embolizm ile indüklenen bazı auralı migren vakaları gösterilmiştir. Bu vakalarda TCD ile saptanan MB sayısının auralı migren epizodunun şiddeti ile korele olduğu gösterilmiştir </w:t>
      </w:r>
      <w:r>
        <w:rPr>
          <w:noProof/>
        </w:rPr>
        <w:t>[185]</w:t>
      </w:r>
      <w:r>
        <w:t xml:space="preserve">. Dahası aura sırasında çekilen beyin MRG’lerinin difüzyon ağırlıklı (DWI) ve ADC sekanslarında sinyal değişikliği izlenmemiştir ki bu iskemik olmayan mekanizmayı desteklemektedir. PFO ve auralı migren birlikteliğinin sebep sonuç ilişkisi olduğunu destekleyen bir diğer kanıt PFO kapatılması yapılmış bir grup auralı migren hastalarının baş ağrısında düzelmenin gösterilmesidir </w:t>
      </w:r>
      <w:r>
        <w:rPr>
          <w:noProof/>
        </w:rPr>
        <w:t>[186, 187]</w:t>
      </w:r>
      <w:r>
        <w:t xml:space="preserve">. Bununla beraber, PFO kapatılması sonrası yeni gelişen auralı migren vakaları da bildirilmiştir </w:t>
      </w:r>
      <w:r>
        <w:rPr>
          <w:noProof/>
        </w:rPr>
        <w:t>[188]</w:t>
      </w:r>
      <w:r>
        <w:t xml:space="preserve">. Mekanizmanın net bilinmemesi ile beraber venöz sistemde dolaşan migreni tetikleyen vazoaktif maddelerin pulmoner eliminasyonu by-pass ederek serebral dolaşıma ulaştığı öne sürülmüştür. Geniş sağdan sola şantı olan kişilerde geçişi artıran fiziksel egzersiz gibi aktivitelerin migrenini tetikleyebildiği gösterilmiştir </w:t>
      </w:r>
      <w:r>
        <w:rPr>
          <w:noProof/>
        </w:rPr>
        <w:t>[189]</w:t>
      </w:r>
      <w:r>
        <w:t>.</w:t>
      </w:r>
    </w:p>
    <w:p w:rsidR="00E659A9" w:rsidRDefault="00E659A9" w:rsidP="00C20723">
      <w:pPr>
        <w:pStyle w:val="METN"/>
      </w:pPr>
      <w:r>
        <w:t xml:space="preserve">Kardiyak oksidatif stresi indükleyen vazoaktif protrombotik madde olan serotoninin migren atağı patofizyolojisindeki yeri bilinmektedir. Akciğerde monoamin oksidaz enzimi serotonini metabolize eder. Şantlı kişilerde dolaşımdaki serotoninin pulmoner yatağı by-pass etmesi sonucunda arteryel serotonin düzeyi yükselir. Bu yükselme ile oluşan trombosit aggregasyon artışının migren ataklarını tetiklediği düşünülmektedir. Perkütan PFO kapatılması sonrası serotonin seviyesinin düşmesi ile bu etkiler ortadan kaldırılmış olabilir </w:t>
      </w:r>
      <w:r>
        <w:rPr>
          <w:noProof/>
        </w:rPr>
        <w:t>[186]</w:t>
      </w:r>
      <w:r>
        <w:t>.</w:t>
      </w:r>
    </w:p>
    <w:p w:rsidR="00E659A9" w:rsidRDefault="00E659A9" w:rsidP="00C20723">
      <w:pPr>
        <w:pStyle w:val="METN"/>
      </w:pPr>
      <w:r>
        <w:lastRenderedPageBreak/>
        <w:t xml:space="preserve">Paradoksik embolinin trombosit aggregasyonu sonucunda geçici fokal iskemiye neden olduğu, bunun da KYD’i tetiklediği düşünülmektedir. Paradoksikal embolizasyonun özellikle posterior dolaşıma yöneldiği ve bu alanın hipoperfüzyonunun görsel aura gelişiminde rolü olduğu bilinmektedir. Fare deneylerinde mikroembolilerin kalıcı iskemik lezyona neden olmadan KYD’i indükledikleri gösterilmiştir </w:t>
      </w:r>
      <w:r>
        <w:rPr>
          <w:noProof/>
        </w:rPr>
        <w:t>[190]</w:t>
      </w:r>
      <w:r>
        <w:t xml:space="preserve">. Auralı migreni olan kişilerde geniş PFO’dan geçen hava mikroembolilerin serebral bioelektriksel aktivitede bozukluğa neden olduğu spektral elektroensefalografi ile gösterilmiştir. Bu bulgu migrenli kişilerin beyinlerinin geçici subklinik hipoksi ve iskemiye artmış reaksiyonun olduğunu göstermektedir </w:t>
      </w:r>
      <w:r>
        <w:rPr>
          <w:noProof/>
        </w:rPr>
        <w:t>[191]</w:t>
      </w:r>
      <w:r>
        <w:t xml:space="preserve">. Bununla beraber PFO’un bir miktar arteryel kanın oksijen satürasyonunu azalttığı bilinmektedir </w:t>
      </w:r>
      <w:r>
        <w:rPr>
          <w:noProof/>
        </w:rPr>
        <w:t>[192]</w:t>
      </w:r>
      <w:r>
        <w:t>. Hipoksi direkt olarak KYD’i tetiklemekle beraber, fibrinolizi baskılayan ve bununla da paradoksik mikroembolizm oluşmasını artıran plazminojen aktivatörü tip-1 salınımına neden olur. Bu verilere rağmen, insanda hava mikroembolizminin spontan kaynağı gösterilmemiştir. Bunun yanı sıra, nerdeyse her zaman benign klinik gidişatı olan auralı migrenli kişilerde sık arteryel veya venöz mikroembolizasyonunun varlığını düşünmek çok zordur.</w:t>
      </w:r>
    </w:p>
    <w:p w:rsidR="00E659A9" w:rsidRDefault="00E659A9" w:rsidP="00C20723">
      <w:pPr>
        <w:pStyle w:val="METN"/>
      </w:pPr>
      <w:r>
        <w:t xml:space="preserve">Küçük çaplı çift kör çalışmada antiaggregan ilaç olan aspirinin çapraz olarak her iki gruba verilmesi sonucunda profilatik ilaç olarak yararlı olduğu gösterilmiştir </w:t>
      </w:r>
      <w:r>
        <w:rPr>
          <w:noProof/>
        </w:rPr>
        <w:t>[193]</w:t>
      </w:r>
      <w:r>
        <w:t xml:space="preserve">. Bir diğer antiaggregan ilaç olan klopidogrelin de PFO kapatılması sonucu auralı migren ataklarının sıklığını azalttığı gösterilmiştir </w:t>
      </w:r>
      <w:r>
        <w:rPr>
          <w:noProof/>
        </w:rPr>
        <w:t>[194]</w:t>
      </w:r>
      <w:r>
        <w:t xml:space="preserve">. Bu grup ilaçların mikroemboli gelişimini önlemenin yanı sıra, aggrege olan trombositlerden serotonin salınımını azalttığı bilinmektedir </w:t>
      </w:r>
      <w:r>
        <w:rPr>
          <w:noProof/>
        </w:rPr>
        <w:t>[195]</w:t>
      </w:r>
      <w:r>
        <w:t xml:space="preserve">. Migrenli kişilerdeyse trombosit aggregasyonunun arttığı gösterilmiştir. Aynı mekanizmayla PFO ve auralı migrenlilerde bunun daha yüksek olacağı düşünülmektedir. Bir diğer konu sağdan sola şantın, migrenli kişilerde inme mekanizması açısından önemidir. Daha önceki yapılmış çalışmalarda migrenöz enfarktı olan kişilerin %64,7’de PFO saptanmıştır </w:t>
      </w:r>
      <w:r>
        <w:rPr>
          <w:noProof/>
        </w:rPr>
        <w:t>[196]</w:t>
      </w:r>
      <w:r>
        <w:t xml:space="preserve">. İnmesi olan migrenli kişilerde PFO prevalansı kontrollere oranla daha yüksek olup, inmenin ortaya çıkmasının ortalama yaşı daha düşüktür </w:t>
      </w:r>
      <w:r>
        <w:rPr>
          <w:noProof/>
        </w:rPr>
        <w:t>[197]</w:t>
      </w:r>
      <w:r>
        <w:t>.</w:t>
      </w:r>
    </w:p>
    <w:p w:rsidR="00E659A9" w:rsidRDefault="00E659A9" w:rsidP="00C20723">
      <w:pPr>
        <w:pStyle w:val="METN"/>
      </w:pPr>
      <w:r>
        <w:t xml:space="preserve">PFO kapatılmasının tüm bu vasküler olay riski de göz önüne alındığında migren tedavisindeki yeri tartışılan önemli konulardan biridir. Bu konuda </w:t>
      </w:r>
      <w:r>
        <w:lastRenderedPageBreak/>
        <w:t xml:space="preserve">yapılmış ilk çalışmada PFO kapatılması sonucunda inme rekürrensi yanı sıra, migrenlilerde atak sıklığının da azaldığı gösterilmiştir </w:t>
      </w:r>
      <w:r>
        <w:rPr>
          <w:noProof/>
        </w:rPr>
        <w:t>[198]</w:t>
      </w:r>
      <w:r>
        <w:t xml:space="preserve">. Sonraki yıllarda yapılmış çalışmalar bu sonucu </w:t>
      </w:r>
      <w:proofErr w:type="gramStart"/>
      <w:r>
        <w:t>kısmen  desteklemekle</w:t>
      </w:r>
      <w:proofErr w:type="gramEnd"/>
      <w:r>
        <w:t xml:space="preserve"> beraber, yapılmış bir çalışmada toplam 194 auralı ve aurasız migrenli hastaların PFO kapatılması sonucu baş ağrısının %10,4-80’e kadar düzeldiği gösterilmiştir </w:t>
      </w:r>
      <w:r>
        <w:rPr>
          <w:noProof/>
        </w:rPr>
        <w:t>[179]</w:t>
      </w:r>
      <w:r>
        <w:t xml:space="preserve">. Benzer </w:t>
      </w:r>
      <w:proofErr w:type="gramStart"/>
      <w:r>
        <w:t>kantitatif</w:t>
      </w:r>
      <w:proofErr w:type="gramEnd"/>
      <w:r>
        <w:t xml:space="preserve"> değerlere yakın </w:t>
      </w:r>
      <w:r w:rsidRPr="00C20723">
        <w:t>sonuçlar</w:t>
      </w:r>
      <w:r>
        <w:t xml:space="preserve"> diğer çalışmalarda da alınmıştır </w:t>
      </w:r>
      <w:r>
        <w:rPr>
          <w:noProof/>
        </w:rPr>
        <w:t>[187]</w:t>
      </w:r>
      <w:r>
        <w:t xml:space="preserve">. Ancak bu çalışmaların birçok kısıtlılıkları vardır. Bunların </w:t>
      </w:r>
      <w:proofErr w:type="gramStart"/>
      <w:r>
        <w:t>retrospektif</w:t>
      </w:r>
      <w:proofErr w:type="gramEnd"/>
      <w:r>
        <w:t xml:space="preserve"> olması, ağrı frekans ve intensitenin subjektif yöntemlerle değerlendirilmiş olması, kapatılma için farklı cihazların kullanılması ve işlem sonrası rezidüel şanta bakılmaması en önemli etkenlerdir. Bu çalışmaların metodunun kör olmaması, kontrol grubunun alınmaması işlemin plasebo etkisinin de rolü olabileceğini düşündürtmektedir. Bununla beraber, bu hastalar şant kapatılmasından sonra 3-6 ay boyunca migren tedavisinde yararı olduğu gösterilmiş aspirin ve klopidogrel kullanmışlar </w:t>
      </w:r>
      <w:r>
        <w:rPr>
          <w:noProof/>
        </w:rPr>
        <w:t>[193, 194]</w:t>
      </w:r>
      <w:r>
        <w:t xml:space="preserve">. Bu çalışmanın kısıtlayıcı taraflarını ortadan kaldırarak ilk prospektif, randomize, çift kör ve sham kontrollü çalışma olan “Migraine Intervention with STARflex Technology (MIST)” 2008 yılında yayınlanmıştır </w:t>
      </w:r>
      <w:r>
        <w:rPr>
          <w:noProof/>
        </w:rPr>
        <w:t>[199]</w:t>
      </w:r>
      <w:r>
        <w:t xml:space="preserve">. Bu çalışmaya 2 migren koruyucu ilaç tedavisi alan, ayda 5-23 gün migren atağı olan ve serebrovasküler olay öyküsü olmayan kişiler alınmıştır. Bu çalışma migren ağrı sıklığının en az %50 azalması ile tamamen geçmesi gibi birincil ve ikincil hedeflerin hiçbirisine ulaşamamıştır. MIST çalışmasının daha önceki çalışmalardan olan farkları bu sonuçların bir kısmını açıklamaktadır. MIST </w:t>
      </w:r>
      <w:proofErr w:type="gramStart"/>
      <w:r>
        <w:t>popülasyonunun</w:t>
      </w:r>
      <w:proofErr w:type="gramEnd"/>
      <w:r>
        <w:t xml:space="preserve"> daha farklı olması, rezidüel şantın devam bundan önceki çalışmalarda atak sıklığı yüksek kişilerin tedavi için tercih edilmemesi bu çalışmanın negatif sonuçlanmasını açıklamaktadır. Cerrahi işleminin kendine özgül </w:t>
      </w:r>
      <w:proofErr w:type="gramStart"/>
      <w:r>
        <w:t>komplikasyonları</w:t>
      </w:r>
      <w:proofErr w:type="gramEnd"/>
      <w:r>
        <w:t xml:space="preserve"> mevcuttur. Yaklaşık % 8 hastada işlem sonrası görülen en önemli </w:t>
      </w:r>
      <w:proofErr w:type="gramStart"/>
      <w:r>
        <w:t>komplikasyonlar</w:t>
      </w:r>
      <w:proofErr w:type="gramEnd"/>
      <w:r>
        <w:t xml:space="preserve"> implant cihazda trombüs oluşumu, implant cihaza bağlı tromboembolizm, kardiyak perforasyon, infektif endokardit ve kardiyak aritmilerdir </w:t>
      </w:r>
      <w:r>
        <w:rPr>
          <w:noProof/>
        </w:rPr>
        <w:t>[200]</w:t>
      </w:r>
      <w:r>
        <w:t>.</w:t>
      </w:r>
    </w:p>
    <w:p w:rsidR="00E659A9" w:rsidRPr="008F4381" w:rsidRDefault="00E659A9" w:rsidP="001731FC">
      <w:pPr>
        <w:spacing w:line="360" w:lineRule="auto"/>
        <w:ind w:firstLine="567"/>
        <w:jc w:val="both"/>
        <w:rPr>
          <w:rFonts w:ascii="Arial" w:hAnsi="Arial" w:cs="Arial"/>
          <w:sz w:val="24"/>
          <w:szCs w:val="24"/>
        </w:rPr>
      </w:pPr>
      <w:r>
        <w:rPr>
          <w:rFonts w:ascii="Arial" w:hAnsi="Arial" w:cs="Arial"/>
          <w:sz w:val="24"/>
          <w:szCs w:val="24"/>
        </w:rPr>
        <w:t>Sonuç olarak, PFO’un migren patofizyolojisindeki yer net olarak bilinmemekle beraber, PFO kapatılma işleminin de migren tedavisindeki etkinliği gösterilememiştir. Bu yüzden migreni tedavi etmek amacıyla sağdan sola şantın kapatılması önerilmemektedir.</w:t>
      </w:r>
    </w:p>
    <w:p w:rsidR="00E659A9" w:rsidRPr="00461F9A" w:rsidRDefault="00C20723" w:rsidP="00C20723">
      <w:pPr>
        <w:pStyle w:val="Balk2"/>
      </w:pPr>
      <w:bookmarkStart w:id="18" w:name="_Toc492677335"/>
      <w:r>
        <w:lastRenderedPageBreak/>
        <w:t xml:space="preserve">1.9. </w:t>
      </w:r>
      <w:r w:rsidR="00E659A9" w:rsidRPr="00461F9A">
        <w:t>Migren ve inme</w:t>
      </w:r>
      <w:bookmarkEnd w:id="18"/>
    </w:p>
    <w:p w:rsidR="00E659A9" w:rsidRDefault="00E659A9" w:rsidP="00C20723">
      <w:pPr>
        <w:pStyle w:val="METN"/>
      </w:pPr>
      <w:r>
        <w:t xml:space="preserve">Migren ve inme arasındaki ilişki uzun yıllardan beri tartışılmaktadır </w:t>
      </w:r>
      <w:r>
        <w:rPr>
          <w:noProof/>
        </w:rPr>
        <w:t>[201]</w:t>
      </w:r>
      <w:r>
        <w:t xml:space="preserve">. Çalışmalarda migrenin beyaz cevher lezyonları, kardiyak olaylar ve vasküler risk faktörleri ile ilişkisi gösterilmiştir </w:t>
      </w:r>
      <w:r>
        <w:rPr>
          <w:noProof/>
        </w:rPr>
        <w:t>[202-204]</w:t>
      </w:r>
      <w:r>
        <w:t xml:space="preserve">. Migrenlilerde en sık görülen kardiyovasküler hastalıkların aynı zaman da inme için risk faktörleri olan hipertansiyon yanı sıra Raynaud sendromu, iskemik kalp hastalığı ve miyokard infarktı olduğu gösterilmiştir </w:t>
      </w:r>
      <w:r>
        <w:rPr>
          <w:noProof/>
        </w:rPr>
        <w:t>[205-207]</w:t>
      </w:r>
      <w:r>
        <w:t xml:space="preserve">. Yapılmış geniş retrospektif kohort verileri migrenin miyokard infarktını (hazard ratio [HR] 1,39), iskemik inmeyi (HR: 1,62), anjina pektoris / koroner revaskülarizasyon işlemlerini (HR: 1,73) ve vasküler mortaliteyi (HR: 1,37) arttırdığını göstermektedir </w:t>
      </w:r>
      <w:r>
        <w:rPr>
          <w:noProof/>
        </w:rPr>
        <w:t>[205]</w:t>
      </w:r>
      <w:r>
        <w:t xml:space="preserve">. Kesin olmamakla ve sonuçlarının sonraki bazı çalışmalarda tam olarak desteklenmemesine rağmen, migren ile TIA ve migren ile hemorajik inme arasında da bağlantının varlığını gösteren çalışmalar mevcuttur </w:t>
      </w:r>
      <w:r>
        <w:rPr>
          <w:noProof/>
        </w:rPr>
        <w:t>[208-210]</w:t>
      </w:r>
      <w:r>
        <w:t>. Ancak bu çalışmalar sonucunda en kuvvetli bağlantının migren ve iskemik inme arasında olduğunu söyleyebiliriz.</w:t>
      </w:r>
    </w:p>
    <w:p w:rsidR="00E659A9" w:rsidRDefault="00E659A9" w:rsidP="00C20723">
      <w:pPr>
        <w:pStyle w:val="METN"/>
      </w:pPr>
      <w:r>
        <w:t xml:space="preserve">Auralı migrenli kişilerde ataklar arası (migren ilişkili inme) ve ataklar sırasında (migren infarktı) iskemik inme riski yaklaşık 2 kat artmıştır </w:t>
      </w:r>
      <w:r>
        <w:rPr>
          <w:noProof/>
        </w:rPr>
        <w:t>[211, 212]</w:t>
      </w:r>
      <w:r>
        <w:t xml:space="preserve">. Bununla beraber, aurasız migrenlilerde iskemik inme riskinin anlamlı derecede artmadığı gösterilmiştir </w:t>
      </w:r>
      <w:r>
        <w:rPr>
          <w:noProof/>
        </w:rPr>
        <w:t>[204, 213]</w:t>
      </w:r>
      <w:r>
        <w:t xml:space="preserve">. Artan atak sıklığının migrenlilerde iskemik inme riskini artırır </w:t>
      </w:r>
      <w:r>
        <w:rPr>
          <w:noProof/>
        </w:rPr>
        <w:t>[204, 214]</w:t>
      </w:r>
      <w:r>
        <w:t xml:space="preserve">. “Stroke in Young Women Prevention” çalışmasında yıllık atak sayısının 12’nin üzerinde olmasının kadınlarda inme için artmış riski gösterdiği ortaya konulmuştur. </w:t>
      </w:r>
      <w:r>
        <w:rPr>
          <w:noProof/>
        </w:rPr>
        <w:t>[215]</w:t>
      </w:r>
      <w:r>
        <w:t xml:space="preserve">. Bu çalışmada ayrıca kadın cinsiyeti, sigara içimi, oral kontraseptif ilaçların kullanımı ve 45 yaşından genç olmanın da artmış inme riski ile bağlantılı olduğu gösterilmiştir </w:t>
      </w:r>
      <w:r>
        <w:rPr>
          <w:noProof/>
        </w:rPr>
        <w:t>[204]</w:t>
      </w:r>
      <w:r>
        <w:t xml:space="preserve">. Migren infarktı nadir görülen tablo olup, prevalansı 1,4-3,4/ 100.000 arasındadır. Bütün iskemik inmelerin yaklaşık % 0,2-0,5’i migrenöz infarkttır </w:t>
      </w:r>
      <w:r>
        <w:rPr>
          <w:noProof/>
        </w:rPr>
        <w:t>[134, 196]</w:t>
      </w:r>
      <w:r>
        <w:t xml:space="preserve">. ICHD-3 sınıflamasında migren infarktı 60 dakikanın üzerinde süren bir veya birkaç aura </w:t>
      </w:r>
      <w:proofErr w:type="gramStart"/>
      <w:r>
        <w:t>semptomunun</w:t>
      </w:r>
      <w:proofErr w:type="gramEnd"/>
      <w:r>
        <w:t xml:space="preserve"> yanı sıra nörogörüntülemede iskemik lezyonun bulunmasıdır.</w:t>
      </w:r>
      <w:r w:rsidRPr="00D7778E">
        <w:t xml:space="preserve"> </w:t>
      </w:r>
      <w:r>
        <w:t xml:space="preserve">Migren infarktı çoğunlukla auralı migreni olan kadınlarda görülmektedir </w:t>
      </w:r>
      <w:r>
        <w:rPr>
          <w:noProof/>
        </w:rPr>
        <w:t>[12]</w:t>
      </w:r>
      <w:r>
        <w:t xml:space="preserve">. Bu infarktların % 65-82’in arka dolaşımda, (özellikle serebellumda) </w:t>
      </w:r>
      <w:proofErr w:type="gramStart"/>
      <w:r>
        <w:t>lokalizedir</w:t>
      </w:r>
      <w:proofErr w:type="gramEnd"/>
      <w:r>
        <w:t xml:space="preserve">. Morfolojik olarak çok sayıda (multipl), oval </w:t>
      </w:r>
      <w:r>
        <w:lastRenderedPageBreak/>
        <w:t xml:space="preserve">şekilli ve küçük boyutlu (ortalama çapı yaklaşık 7 mm) lezyonlardır </w:t>
      </w:r>
      <w:r>
        <w:rPr>
          <w:noProof/>
        </w:rPr>
        <w:t>[134, 196, 216]</w:t>
      </w:r>
      <w:r>
        <w:t>.</w:t>
      </w:r>
    </w:p>
    <w:p w:rsidR="00E659A9" w:rsidRDefault="00E659A9" w:rsidP="00C20723">
      <w:pPr>
        <w:pStyle w:val="METN"/>
      </w:pPr>
      <w:r>
        <w:t xml:space="preserve">Migren ve inme bağlantısının mekanizması net olarak bilinemese de, buna dair pek çok hipotez mevcuttur. Bunlar arasında KYD, vazokonstriksiyon, endotelyal disfonksiyon, artmış vasküler risk faktör prevalansı, ortak genetik bozukluklar, servikokranial arter diseksiyonu, PFO, nörojenik inflamasyon ve hiperkoagulabilite’nin ana mekanizmalar olabileceği düşünülmektedir </w:t>
      </w:r>
      <w:r>
        <w:rPr>
          <w:noProof/>
        </w:rPr>
        <w:t>[204, 217-222]</w:t>
      </w:r>
      <w:r>
        <w:t>.</w:t>
      </w:r>
    </w:p>
    <w:p w:rsidR="00E659A9" w:rsidRDefault="00E659A9" w:rsidP="00C20723">
      <w:pPr>
        <w:pStyle w:val="METN"/>
      </w:pPr>
      <w:r>
        <w:t xml:space="preserve">KYD’nin migren aurasının oluşmasındaki yeri bilinmektedir </w:t>
      </w:r>
      <w:r>
        <w:rPr>
          <w:noProof/>
        </w:rPr>
        <w:t>[223]</w:t>
      </w:r>
      <w:r>
        <w:t xml:space="preserve">. Bu fenomenin aynı zamanda iskemik inme, intrakranyal hemoraji, subaraknoid kanama, travmatik beyin hasarı, geçici </w:t>
      </w:r>
      <w:proofErr w:type="gramStart"/>
      <w:r>
        <w:t>global</w:t>
      </w:r>
      <w:proofErr w:type="gramEnd"/>
      <w:r>
        <w:t xml:space="preserve"> amnezi ve diğer hastalıkların patogenezinde de rol alır </w:t>
      </w:r>
      <w:r>
        <w:rPr>
          <w:noProof/>
        </w:rPr>
        <w:t>[224-226]</w:t>
      </w:r>
      <w:r>
        <w:t xml:space="preserve">. KYD korteks boyunca 3-5 mm/dakika hızında yayılan kısa süreli depolarizasyon dalgasıdır </w:t>
      </w:r>
      <w:r>
        <w:rPr>
          <w:noProof/>
        </w:rPr>
        <w:t>[227]</w:t>
      </w:r>
      <w:r>
        <w:t xml:space="preserve">. KYD esnasında oluşan değişiklikler yüksek oksijen ve glikoz kullanımı ile serebral kan akımının artışına neden olmaktadır </w:t>
      </w:r>
      <w:r>
        <w:rPr>
          <w:noProof/>
        </w:rPr>
        <w:t>[70, 225]</w:t>
      </w:r>
      <w:r>
        <w:t xml:space="preserve">. Serebral hiperemi sonrası gelişen uzamış hipoperfüzyon sonucu vasküler yanıtlılıkta azalma izlenmektedir </w:t>
      </w:r>
      <w:r>
        <w:rPr>
          <w:noProof/>
        </w:rPr>
        <w:t>[228]</w:t>
      </w:r>
      <w:r>
        <w:t xml:space="preserve">. Bu yüzden bu dönemde beyinde iskemiye yatkınlık gelişebileceği ifade edilmiştir </w:t>
      </w:r>
      <w:r>
        <w:rPr>
          <w:noProof/>
        </w:rPr>
        <w:t>[229]</w:t>
      </w:r>
      <w:r>
        <w:t xml:space="preserve">. Hipoperfüzyonun görece uzun süre devam etmesi doğrudan iskemik lezyona neden olabilmektedir </w:t>
      </w:r>
      <w:r>
        <w:rPr>
          <w:noProof/>
        </w:rPr>
        <w:t>[230]</w:t>
      </w:r>
      <w:r>
        <w:t xml:space="preserve">. İnsandaki migren genini mutasyonlu olarak bulunduran farelerde yapılmış deneylerde, hayvanların KYD ve iskemiye yatkın olduğu gösterilmiştir </w:t>
      </w:r>
      <w:r>
        <w:rPr>
          <w:noProof/>
        </w:rPr>
        <w:t>[229]</w:t>
      </w:r>
      <w:r>
        <w:t>.</w:t>
      </w:r>
    </w:p>
    <w:p w:rsidR="00E659A9" w:rsidRDefault="00E659A9" w:rsidP="00C20723">
      <w:pPr>
        <w:pStyle w:val="METN"/>
      </w:pPr>
      <w:r>
        <w:t xml:space="preserve">Migren patogenezi ve migren ilişkili inmelerde endotelin rolü özellikle son 10 yılda daha fazla tartışılmaktadır </w:t>
      </w:r>
      <w:r>
        <w:rPr>
          <w:noProof/>
        </w:rPr>
        <w:t>[231]</w:t>
      </w:r>
      <w:r>
        <w:t xml:space="preserve">. Endotel vasküler reaktivite, homeostaz, </w:t>
      </w:r>
      <w:proofErr w:type="gramStart"/>
      <w:r>
        <w:t>lokal</w:t>
      </w:r>
      <w:proofErr w:type="gramEnd"/>
      <w:r>
        <w:t xml:space="preserve"> tromboliz, tromboz, proliferasyon ve apoptozda büyük öneme sahiptir </w:t>
      </w:r>
      <w:r>
        <w:rPr>
          <w:noProof/>
        </w:rPr>
        <w:t>[232]</w:t>
      </w:r>
      <w:r>
        <w:t xml:space="preserve">. Endotelyal hücrelerden çıkan mikropartiküller endotel aktivasyonu ve disfonksiyonuna yol açmaktadır </w:t>
      </w:r>
      <w:r>
        <w:rPr>
          <w:noProof/>
        </w:rPr>
        <w:t>[233]</w:t>
      </w:r>
      <w:r>
        <w:t xml:space="preserve">. Endotel hasarı biyo-belirteçleri olan “endothelial growth factor” (EGF), t-PA, von Willebrand faktörü ve C-reaktif proteini seviyesi migrenli kişilerde normallere göre daha yüksektir </w:t>
      </w:r>
      <w:r>
        <w:rPr>
          <w:noProof/>
        </w:rPr>
        <w:t>[234, 235]</w:t>
      </w:r>
      <w:r>
        <w:t xml:space="preserve">. Aura fazında salınan inflamatuar sitokinler endotel aktivasyonu ile protrombotik duruma yol açmaktadır </w:t>
      </w:r>
      <w:r>
        <w:rPr>
          <w:noProof/>
        </w:rPr>
        <w:t>[233]</w:t>
      </w:r>
      <w:r>
        <w:t xml:space="preserve">. Bununla beraber migrenli kişilerde serebrovasküler reaktiviteye (artmış ve azalmış serebrovasküler reaktivite) </w:t>
      </w:r>
      <w:r>
        <w:lastRenderedPageBreak/>
        <w:t xml:space="preserve">dair yapılmış bazı çalışmalarda endotel disfonksiyonu ile migren arasında ilişki her zaman net olarak gösterilememiştir </w:t>
      </w:r>
      <w:r>
        <w:rPr>
          <w:noProof/>
        </w:rPr>
        <w:t>[236-238]</w:t>
      </w:r>
      <w:r>
        <w:t>.</w:t>
      </w:r>
    </w:p>
    <w:p w:rsidR="00E659A9" w:rsidRDefault="00E659A9" w:rsidP="00C20723">
      <w:pPr>
        <w:pStyle w:val="METN"/>
      </w:pPr>
      <w:r>
        <w:t xml:space="preserve">Migrenli kişilerde inme </w:t>
      </w:r>
      <w:proofErr w:type="gramStart"/>
      <w:r>
        <w:t>dahil</w:t>
      </w:r>
      <w:proofErr w:type="gramEnd"/>
      <w:r>
        <w:t xml:space="preserve"> her türlü vasküler olayın görülme sıklığı artmaktadır </w:t>
      </w:r>
      <w:r>
        <w:rPr>
          <w:noProof/>
        </w:rPr>
        <w:t>[142]</w:t>
      </w:r>
      <w:r>
        <w:t xml:space="preserve">. Bu yüzden migrenli kişilerdeki vasküler risk faktörleri geniş şekilde araştırılmıştır. Serebral kan akımı ve vasküler yapıyı belirgin şekilde etkileyen hipertansiyonun migrenli kişilerde daha sık olduğunu gösteren çalışmalar vardır. Bununla beraber, böyle bir artışın olmadığını gösteren çalışmalar da mevcuttur </w:t>
      </w:r>
      <w:r>
        <w:rPr>
          <w:noProof/>
        </w:rPr>
        <w:t>[239-241]</w:t>
      </w:r>
      <w:r>
        <w:t xml:space="preserve">. Benzer durum migren ve obezite ilişkisi için de geçerlidir. Bazı çalışmalar obez kişilerde migren sıklığının daha yüksek olduğunu ve vücut kitle indeksinin (BMI) artışıyla bu riskin de arttığını göstermiştir </w:t>
      </w:r>
      <w:r>
        <w:rPr>
          <w:noProof/>
        </w:rPr>
        <w:t>[242, 243]</w:t>
      </w:r>
      <w:r>
        <w:t xml:space="preserve">. Bu bulgulara göre total vücut obezitesi migren sıklığı, frekansı ve atak süresini etkilemektedir </w:t>
      </w:r>
      <w:r>
        <w:rPr>
          <w:noProof/>
        </w:rPr>
        <w:t>[244]</w:t>
      </w:r>
      <w:r>
        <w:t xml:space="preserve">. Diğer taraftan, bazı çalışmalar obezitenin migrenin kronikleşme döneminde etkisinin olduğunu göstermiştir </w:t>
      </w:r>
      <w:r>
        <w:rPr>
          <w:noProof/>
        </w:rPr>
        <w:t>[242, 244, 245]</w:t>
      </w:r>
      <w:r>
        <w:t xml:space="preserve">. Birçok çalışma sigara tüketimiyle migren arasında pozitif </w:t>
      </w:r>
      <w:proofErr w:type="gramStart"/>
      <w:r>
        <w:t>korelasyon</w:t>
      </w:r>
      <w:proofErr w:type="gramEnd"/>
      <w:r>
        <w:t xml:space="preserve"> göstermiştir. Migrenlilerde sigara içme oranı daha sıktır </w:t>
      </w:r>
      <w:r>
        <w:rPr>
          <w:noProof/>
        </w:rPr>
        <w:t>[246, 247]</w:t>
      </w:r>
      <w:r>
        <w:t xml:space="preserve">. Migrenli kişilerde sigara kullanımının kardiyak otonomik </w:t>
      </w:r>
      <w:proofErr w:type="gramStart"/>
      <w:r>
        <w:t>semptomlara</w:t>
      </w:r>
      <w:proofErr w:type="gramEnd"/>
      <w:r>
        <w:t xml:space="preserve"> neden olduğu gösterilmiş olsa da, bunun baş ağrısını tetiklediğini gösteren veriler yeterli değildir </w:t>
      </w:r>
      <w:r>
        <w:rPr>
          <w:noProof/>
        </w:rPr>
        <w:t>[248, 249]</w:t>
      </w:r>
      <w:r>
        <w:t xml:space="preserve">. “Coronary Artery Risk Development (CARDIA)” çalışmasında genç sigara içenlerde migren gelişme riskinin yüksek olduğu gösterilmiştir </w:t>
      </w:r>
      <w:r>
        <w:rPr>
          <w:noProof/>
        </w:rPr>
        <w:t>[250]</w:t>
      </w:r>
      <w:r>
        <w:t xml:space="preserve">. Migrenli kişilerde aterojenik dislipideminin sıklığının artığını gösteren veriler </w:t>
      </w:r>
      <w:r>
        <w:rPr>
          <w:noProof/>
        </w:rPr>
        <w:t>[207]</w:t>
      </w:r>
      <w:r>
        <w:t xml:space="preserve"> böyle bir ilişkinin olmadığını dökümente edenlere göre daha fazladır </w:t>
      </w:r>
      <w:r>
        <w:rPr>
          <w:noProof/>
        </w:rPr>
        <w:t>[251, 252]</w:t>
      </w:r>
      <w:r>
        <w:t>. Sonuç olarak migrenlilerde tek bir vasküler risk faktörü dominant olmamakla beraber, birçok faktörün sıklığındaki artış aterosklerozun migrenlilerin inmesindeki rolünü desteklemektedir.</w:t>
      </w:r>
    </w:p>
    <w:p w:rsidR="00E659A9" w:rsidRDefault="00E659A9" w:rsidP="00C20723">
      <w:pPr>
        <w:pStyle w:val="METN"/>
      </w:pPr>
      <w:r>
        <w:t xml:space="preserve">Migren ve inme birlikteliğinin genetik örnekleri de vardır. Bu grubun en bilinen örnekleri CADASIL (“Subkortikal Enfarkt ve Lökoensefalopati ile giden Otozomal Dominant Serebral Arteriyopati”) ve MELAS’ (“Laktik Asidoz ve İnme ile giden Mitokondriyal Ensefalopati”) </w:t>
      </w:r>
      <w:proofErr w:type="gramStart"/>
      <w:r>
        <w:t>dır</w:t>
      </w:r>
      <w:proofErr w:type="gramEnd"/>
      <w:r>
        <w:t xml:space="preserve">. Bu özel durumlar dışında inme ve migren bağlantısının genetik altyapısı olduğuna dair birçok kanıt mevcuttur. Örneğin, geniş GWA çalışmasında aurasız migren ile büyük damar aterosklerozu ve kardiyoembolizm nedenli inme arasında ortak genetik </w:t>
      </w:r>
      <w:r>
        <w:lastRenderedPageBreak/>
        <w:t xml:space="preserve">noktalar gösterilmiştir </w:t>
      </w:r>
      <w:r>
        <w:rPr>
          <w:noProof/>
        </w:rPr>
        <w:t>[217]</w:t>
      </w:r>
      <w:r>
        <w:t xml:space="preserve">. Aynı çalışmada auralı migren ile iskemik inme arasında benzer bir ilişki ortaya konulamamıştır </w:t>
      </w:r>
      <w:r>
        <w:rPr>
          <w:noProof/>
        </w:rPr>
        <w:t>[217]</w:t>
      </w:r>
      <w:r>
        <w:t>.</w:t>
      </w:r>
    </w:p>
    <w:p w:rsidR="00E659A9" w:rsidRDefault="00E659A9" w:rsidP="00C20723">
      <w:pPr>
        <w:pStyle w:val="METN"/>
        <w:rPr>
          <w:szCs w:val="24"/>
        </w:rPr>
      </w:pPr>
      <w:r>
        <w:rPr>
          <w:szCs w:val="24"/>
        </w:rPr>
        <w:t xml:space="preserve">Migren atak tedavisinde kullanılan triptan ve ergotamin grubu ilaçların vazokonstriksiyonu indükleyerek inme riskini artırdığı iddia edilmiştir </w:t>
      </w:r>
      <w:r>
        <w:rPr>
          <w:noProof/>
          <w:szCs w:val="24"/>
        </w:rPr>
        <w:t>[253]</w:t>
      </w:r>
      <w:r>
        <w:rPr>
          <w:szCs w:val="24"/>
        </w:rPr>
        <w:t xml:space="preserve">. Triptanlarla ilgili yapılmış çalışmalar inme riski artışı hakkında çelişkili sonuçlar üretmiştir </w:t>
      </w:r>
      <w:r>
        <w:rPr>
          <w:noProof/>
          <w:szCs w:val="24"/>
        </w:rPr>
        <w:t>[254]</w:t>
      </w:r>
      <w:r>
        <w:rPr>
          <w:szCs w:val="24"/>
        </w:rPr>
        <w:t xml:space="preserve">. Sonuçta, triptan kullanımı ile inme riskinde sayısal bir atış olsa da bu 100.000’de1 kadar düşük bir seviyededir </w:t>
      </w:r>
      <w:r>
        <w:rPr>
          <w:noProof/>
          <w:szCs w:val="24"/>
        </w:rPr>
        <w:t>[255]</w:t>
      </w:r>
      <w:r>
        <w:rPr>
          <w:szCs w:val="24"/>
        </w:rPr>
        <w:t xml:space="preserve">. Dolayısıyla, inme öyküsü olması triptan kullanımı için bir kontrendikasyon olarak kabul edilmemektedir. </w:t>
      </w:r>
      <w:r>
        <w:rPr>
          <w:noProof/>
          <w:szCs w:val="24"/>
        </w:rPr>
        <w:t>[256]</w:t>
      </w:r>
      <w:r>
        <w:rPr>
          <w:szCs w:val="24"/>
        </w:rPr>
        <w:t xml:space="preserve">. Triptanların oral kontraseptif ile birlikte kullanımının vasküler risk artışı açısından güvenliği bu bağlamda değerlendirilmesi gereken bir konudur </w:t>
      </w:r>
      <w:r>
        <w:rPr>
          <w:noProof/>
          <w:szCs w:val="24"/>
        </w:rPr>
        <w:t>[257, 258]</w:t>
      </w:r>
      <w:r>
        <w:rPr>
          <w:szCs w:val="24"/>
        </w:rPr>
        <w:t xml:space="preserve">. Mensturasyon ile ilişkili migrende oral kontraseptifler içerdikleri östrojen ile atağı sıklığı ve şiddetini azaltabilir. Ancak çalışmalar 50-100 </w:t>
      </w:r>
      <w:r>
        <w:rPr>
          <w:szCs w:val="24"/>
        </w:rPr>
        <w:sym w:font="Symbol" w:char="F06D"/>
      </w:r>
      <w:r>
        <w:rPr>
          <w:szCs w:val="24"/>
        </w:rPr>
        <w:t xml:space="preserve">g gibi yüksek doz etinil estradiol içeren oral kontraseptif preparatlarının migrenli kişilerde kullanımının inme riski artışı ile ilişkili olduğu göstermiştir. Bununla birlikte, günümüzde kullanımda olan düşük doz östrojen (25 </w:t>
      </w:r>
      <w:r>
        <w:rPr>
          <w:szCs w:val="24"/>
        </w:rPr>
        <w:sym w:font="Symbol" w:char="F06D"/>
      </w:r>
      <w:r>
        <w:rPr>
          <w:szCs w:val="24"/>
        </w:rPr>
        <w:t xml:space="preserve">g’a kadar etinil estrodiol) içeren oral kontraseptifler için böyle bir risk artışı söz konusu değildir </w:t>
      </w:r>
      <w:r>
        <w:rPr>
          <w:noProof/>
          <w:szCs w:val="24"/>
        </w:rPr>
        <w:t>[259]</w:t>
      </w:r>
      <w:r>
        <w:rPr>
          <w:szCs w:val="24"/>
        </w:rPr>
        <w:t>.</w:t>
      </w:r>
    </w:p>
    <w:p w:rsidR="00E659A9" w:rsidRPr="00461F9A" w:rsidRDefault="00C20723" w:rsidP="00C20723">
      <w:pPr>
        <w:pStyle w:val="Balk2"/>
      </w:pPr>
      <w:bookmarkStart w:id="19" w:name="_Toc492677336"/>
      <w:r>
        <w:t xml:space="preserve">1.10. </w:t>
      </w:r>
      <w:r w:rsidR="00E659A9" w:rsidRPr="00461F9A">
        <w:t>Serebral vazomotor reaktivite</w:t>
      </w:r>
      <w:bookmarkEnd w:id="19"/>
    </w:p>
    <w:p w:rsidR="00E659A9" w:rsidRDefault="00E659A9" w:rsidP="00C20723">
      <w:pPr>
        <w:pStyle w:val="METN"/>
      </w:pPr>
      <w:r>
        <w:t xml:space="preserve">Serebral kan akımının dinamik otoregülasyon özelliği ile serebral perfüzyon basıncını etkileyen farklı durumlarda gerektiği kadar beyin kan akımı garanti edilmektedir </w:t>
      </w:r>
      <w:r>
        <w:rPr>
          <w:noProof/>
        </w:rPr>
        <w:t>[260]</w:t>
      </w:r>
      <w:r>
        <w:t xml:space="preserve">. Beyin dokusunun sahip olduğu yüksek metabolik hız ve kısıtlı enerji depoları göz önüne alındığında vazoaktif stimuluslara yanıt olarak metabolik </w:t>
      </w:r>
      <w:r>
        <w:rPr>
          <w:noProof/>
        </w:rPr>
        <w:t>[261]</w:t>
      </w:r>
      <w:r>
        <w:t xml:space="preserve">, nöronal </w:t>
      </w:r>
      <w:r>
        <w:rPr>
          <w:noProof/>
        </w:rPr>
        <w:t>[262-264]</w:t>
      </w:r>
      <w:r>
        <w:t xml:space="preserve">, basınç değişikliklerine karşı miyojenik mekanizmalarla </w:t>
      </w:r>
      <w:r>
        <w:rPr>
          <w:noProof/>
        </w:rPr>
        <w:t>[261, 263]</w:t>
      </w:r>
      <w:r>
        <w:t xml:space="preserve"> kan akımı regülasyonunun sağlanmasının gerekliliği ön görülebilir. Bu kompleks mekanizmalar sayesinde normal bireylerde perfüzyon basıncını etkileyen farklı hemodinamik ve nörofizyolojik stimulusların serebral damarların dilatasyonuna veya konstriksiyonuna yol açarak kan akımını sabit tutması sağlanabilmektedir </w:t>
      </w:r>
      <w:r>
        <w:rPr>
          <w:noProof/>
        </w:rPr>
        <w:t>[260, 265]</w:t>
      </w:r>
      <w:r>
        <w:t xml:space="preserve">. Serebrovasküler rezerv karbon dioksit veya asetozolamid gibi vazodilatör stimuluslara yanıt olarak kan akımında olan değişikliklerin belirlenmesi ile ölçülmektedir </w:t>
      </w:r>
      <w:r>
        <w:rPr>
          <w:noProof/>
        </w:rPr>
        <w:t>[266]</w:t>
      </w:r>
      <w:r>
        <w:t>. Serebral vazomotor reaktivite (VMR) Xenon</w:t>
      </w:r>
      <w:r w:rsidRPr="00461F9A">
        <w:rPr>
          <w:vertAlign w:val="superscript"/>
        </w:rPr>
        <w:t>133</w:t>
      </w:r>
      <w:r>
        <w:t xml:space="preserve"> klerensi </w:t>
      </w:r>
      <w:r>
        <w:rPr>
          <w:noProof/>
        </w:rPr>
        <w:t>[267]</w:t>
      </w:r>
      <w:r>
        <w:t xml:space="preserve">, stabil Xenon BT kan akımı </w:t>
      </w:r>
      <w:r>
        <w:rPr>
          <w:noProof/>
        </w:rPr>
        <w:t>[268]</w:t>
      </w:r>
      <w:r>
        <w:t xml:space="preserve">, PET </w:t>
      </w:r>
      <w:r>
        <w:rPr>
          <w:noProof/>
        </w:rPr>
        <w:t>[269]</w:t>
      </w:r>
      <w:r>
        <w:t xml:space="preserve"> , SPECT </w:t>
      </w:r>
      <w:r>
        <w:rPr>
          <w:noProof/>
        </w:rPr>
        <w:t>[266]</w:t>
      </w:r>
      <w:r>
        <w:t xml:space="preserve"> ve TCD </w:t>
      </w:r>
      <w:r>
        <w:rPr>
          <w:noProof/>
        </w:rPr>
        <w:t xml:space="preserve">[266, </w:t>
      </w:r>
      <w:r>
        <w:rPr>
          <w:noProof/>
        </w:rPr>
        <w:lastRenderedPageBreak/>
        <w:t>270]</w:t>
      </w:r>
      <w:r>
        <w:t xml:space="preserve"> teknikleriyle saptanabilmektedir. İlk kez 1945 yılında Kety ve Schmidt tarafından “inert tracer” olarak N</w:t>
      </w:r>
      <w:r w:rsidRPr="009B5B36">
        <w:rPr>
          <w:vertAlign w:val="subscript"/>
        </w:rPr>
        <w:t>2</w:t>
      </w:r>
      <w:r>
        <w:t xml:space="preserve">O kullanarak serebral kan akımı (“Cerebral Blood Flow”: CBF) ölçümü yapılmıştır. Onlar global CBF ölçümünde inert maddenin arterio-venöz farkının beyin kan akımı ile doğru orantılı bağlantısı olduğunu ifade eden Fick prensibini kullanmışlardı. Bu madde satürasyon fazı olarak tarif edilen dengedeki basıncı yakalayana kadar infüze edildikten sonra durdurulmuş, ardından konsantrasyon sıfıra kadar geriletilmiştir (desatürasyon fazı). Hem satürasyon, hem desatürasyon fazlarında arteryel ve juguler venden alınmış olan kan örneklerinin değerlerini Kety-Shmidt denkleminde kullanarak CBF hesaplanmıştır </w:t>
      </w:r>
      <w:r>
        <w:rPr>
          <w:noProof/>
        </w:rPr>
        <w:t>[271]</w:t>
      </w:r>
      <w:r>
        <w:t>. Teorik olarak bu prensip kullanılarak sonraki senelerde kolaylıkla diffüzyon sağlanılabilen tracerler, Xenon</w:t>
      </w:r>
      <w:r w:rsidRPr="00461F9A">
        <w:rPr>
          <w:vertAlign w:val="superscript"/>
        </w:rPr>
        <w:t>133</w:t>
      </w:r>
      <w:r>
        <w:t xml:space="preserve">, hidrojen ve iodoantipirin kullanılmıştır </w:t>
      </w:r>
      <w:r>
        <w:rPr>
          <w:noProof/>
        </w:rPr>
        <w:t>[272]</w:t>
      </w:r>
      <w:r>
        <w:t xml:space="preserve">. Bu yöntemlerin kendine özgü bazı önemli kısıtlılıkları mevcuttur. Hesaplamalar birkaç dakika içinde yapıldığı için CBF’in dinamik değişikliklerini hesaplamak genellikle mümkün değildir. Bu metodlarla global CBF ile ilgili bilgi elde edilmiş olup, lokal CBF’e dair herhangi bilgi sağlanamamaktadır. İnternal juguler ven ve periferik arter kateterizasyonun invazif olması ve oluşturduğu komplikasyon oranı da kısıtlayıcıdır. Bir diğer önemli konu, kişilerin % 50’de beyin venöz akımının simetrik olmayıp, kortikal drenajın esasen sağ internal juguler vene, subkortikal venöz drenajın ise sol internal juguler ven ile olmasıdır. </w:t>
      </w:r>
    </w:p>
    <w:p w:rsidR="00E659A9" w:rsidRDefault="00E659A9" w:rsidP="00C20723">
      <w:pPr>
        <w:pStyle w:val="METN"/>
      </w:pPr>
      <w:r>
        <w:t xml:space="preserve">TCD intrakranial damarların non-invazif olarak değerlendirilebildiği hasta başında uygulanabilen bir tetkiktir. Doppler insanda ilk kez 1959 yılında ekstrakranyal damarlarda kan akım hızının ölçümü için kullanımına başlanmıştır </w:t>
      </w:r>
      <w:r>
        <w:rPr>
          <w:noProof/>
        </w:rPr>
        <w:t>[273]</w:t>
      </w:r>
      <w:r>
        <w:t xml:space="preserve">. Doppler’in çalışma prensibi belli frekansta ses dalgalarının dokuya gönderilmesi, hareket eden eritrositlerden yansıyan sonik sinyalin aynı transduser ile kaydı, giden ile yansıyan seste oluşan frekans şifti (kayması)’nin belirlenmesidir. TCD’in anatomik görüntüleme kabiliyeti düşük iken zamansal değişiklerin dökümentasyonunda çok başarılıdır. Non-invazif bir şekilde bazal beyin arterinde kardiyak atımdan atıma olan değişiklikleri TCD ile gözlemlemek mümkündür. Ancak TCD ölçülen CBF değil serebral kan akım hızıdır. Serebral arterlerin damar duvarı görüntülenemediği için çap ve dolayısıyla kan </w:t>
      </w:r>
      <w:proofErr w:type="gramStart"/>
      <w:r>
        <w:t>volümü</w:t>
      </w:r>
      <w:proofErr w:type="gramEnd"/>
      <w:r>
        <w:t xml:space="preserve">/akımı TCD ile ölçülemez. Ancak, Willis poligonunu </w:t>
      </w:r>
      <w:r>
        <w:lastRenderedPageBreak/>
        <w:t>oluşturan arterlerde hem fizyolojik hem de patolojik durumlarda oluşan çap değişiklikleri minimaldir</w:t>
      </w:r>
      <w:r>
        <w:rPr>
          <w:noProof/>
        </w:rPr>
        <w:t>[274-276]</w:t>
      </w:r>
      <w:r>
        <w:t xml:space="preserve">. Haliyle, bu arterlerde çok az bir hata ile çap değişikliği olmadığı kabul edilirse akım hızında meydana gelen değişikliklerin doğrudan doğruya distal vasküler yataktaki </w:t>
      </w:r>
      <w:proofErr w:type="gramStart"/>
      <w:r>
        <w:t>volüm</w:t>
      </w:r>
      <w:proofErr w:type="gramEnd"/>
      <w:r>
        <w:t xml:space="preserve"> / akım statusunu yansıttığı söylenebilir </w:t>
      </w:r>
      <w:r>
        <w:rPr>
          <w:noProof/>
        </w:rPr>
        <w:t>[277]</w:t>
      </w:r>
      <w:r>
        <w:t>.</w:t>
      </w:r>
    </w:p>
    <w:p w:rsidR="00E659A9" w:rsidRDefault="00E659A9" w:rsidP="00C20723">
      <w:pPr>
        <w:pStyle w:val="METN"/>
        <w:rPr>
          <w:szCs w:val="24"/>
        </w:rPr>
      </w:pPr>
      <w:r w:rsidRPr="00461F9A">
        <w:rPr>
          <w:szCs w:val="24"/>
        </w:rPr>
        <w:t>TCD ile distal vasküler yatağın çeşitli vazodilatasyon veya vazokonstriksiyon oluşturan stimuluslara olan yanıtının proksimal damarlardaki akım hızı değişikleri yardımıyla ölçümü ile vazoreaktivite testleri yapılır.</w:t>
      </w:r>
      <w:r>
        <w:rPr>
          <w:szCs w:val="24"/>
        </w:rPr>
        <w:t xml:space="preserve"> </w:t>
      </w:r>
      <w:r>
        <w:rPr>
          <w:noProof/>
          <w:szCs w:val="24"/>
        </w:rPr>
        <w:t>[261, 278, 279]</w:t>
      </w:r>
      <w:r>
        <w:rPr>
          <w:szCs w:val="24"/>
        </w:rPr>
        <w:t xml:space="preserve">. </w:t>
      </w:r>
      <w:proofErr w:type="gramStart"/>
      <w:r>
        <w:rPr>
          <w:szCs w:val="24"/>
        </w:rPr>
        <w:t xml:space="preserve">Bu testleri 3 grupta inceleyebiliriz: (1) Serebral otoregülasyon testleri: Ya kan basıncı artırımı (örneğin noradrenalin infüzyonu) veya azaltımı (örneğin bacak manşon salma testi) gibi bir kan basıncı değişikliğine cevap olarak ya da böyle bir stimulus vermeden yani istirahatte arteryel kan basıncı fluktuasyonlarına olan serebral kan akımı değişikliklerin tespiti ile serebral basınç otoregülasyonu ölçülebilir </w:t>
      </w:r>
      <w:r>
        <w:rPr>
          <w:noProof/>
          <w:szCs w:val="24"/>
        </w:rPr>
        <w:t>[279]</w:t>
      </w:r>
      <w:r>
        <w:rPr>
          <w:szCs w:val="24"/>
        </w:rPr>
        <w:t xml:space="preserve">; (2) Vazomotor reaktivite testleri: Beyin damarlarında TCD ile belirlenen akım hızlarında karbon dioksit inhalasyonu, asetazolamid injeksiyonu veya volunter nefes tutma manevrası gibi vazodilatatör olaylara veya hiperventilasyon gibi vazokonstriksiyona yol açan durumlarla olan değişikliklerin belirlenmesi esasına dayanır </w:t>
      </w:r>
      <w:r>
        <w:rPr>
          <w:noProof/>
          <w:szCs w:val="24"/>
        </w:rPr>
        <w:t>[261]</w:t>
      </w:r>
      <w:r>
        <w:rPr>
          <w:szCs w:val="24"/>
        </w:rPr>
        <w:t xml:space="preserve">; (3) Nörovasküler kenetlenme (“coupling”) veya fonksiyonel hiperemi: Nöronal aktiviteye (görsel, motor veya işitsel stimuluslar ile ortaya çıkan veya çıkması beklenen) yanıt olarak TCD ile belirlenen serebral kan akım hızı değişiklerinin ölçümüdür </w:t>
      </w:r>
      <w:r>
        <w:rPr>
          <w:noProof/>
          <w:szCs w:val="24"/>
        </w:rPr>
        <w:t>[280, 281]</w:t>
      </w:r>
      <w:r>
        <w:rPr>
          <w:szCs w:val="24"/>
        </w:rPr>
        <w:t>.</w:t>
      </w:r>
      <w:proofErr w:type="gramEnd"/>
    </w:p>
    <w:p w:rsidR="00E659A9" w:rsidRDefault="00E659A9" w:rsidP="00C20723">
      <w:pPr>
        <w:pStyle w:val="METN"/>
        <w:rPr>
          <w:szCs w:val="24"/>
        </w:rPr>
      </w:pPr>
      <w:r>
        <w:rPr>
          <w:szCs w:val="24"/>
        </w:rPr>
        <w:t xml:space="preserve">Serebral VMR’in en büyük kısmının küçük damarlar ve kapillerlerin fonksiyonu olduğu gösterilmiştir </w:t>
      </w:r>
      <w:r>
        <w:rPr>
          <w:noProof/>
          <w:szCs w:val="24"/>
        </w:rPr>
        <w:t>[282]</w:t>
      </w:r>
      <w:r>
        <w:rPr>
          <w:szCs w:val="24"/>
        </w:rPr>
        <w:t xml:space="preserve">. Karbondioksit reaktivite testinde hiperkapni döneminde gri cevherdeki damarların beyaz cevherdekilere oranla daha fazla vazodilatasyon gösterdiği bulunmuştur </w:t>
      </w:r>
      <w:r>
        <w:rPr>
          <w:noProof/>
          <w:szCs w:val="24"/>
        </w:rPr>
        <w:t>[283, 284]</w:t>
      </w:r>
      <w:r>
        <w:rPr>
          <w:szCs w:val="24"/>
        </w:rPr>
        <w:t>.</w:t>
      </w:r>
    </w:p>
    <w:p w:rsidR="00E659A9" w:rsidRDefault="00E659A9" w:rsidP="00C20723">
      <w:pPr>
        <w:pStyle w:val="METN"/>
        <w:rPr>
          <w:szCs w:val="24"/>
        </w:rPr>
      </w:pPr>
      <w:r>
        <w:rPr>
          <w:szCs w:val="24"/>
        </w:rPr>
        <w:t>Serebral kan damarları arteryel PaCO</w:t>
      </w:r>
      <w:r w:rsidRPr="009C378E">
        <w:rPr>
          <w:szCs w:val="24"/>
          <w:vertAlign w:val="subscript"/>
        </w:rPr>
        <w:t>2</w:t>
      </w:r>
      <w:r>
        <w:rPr>
          <w:szCs w:val="24"/>
        </w:rPr>
        <w:t xml:space="preserve"> değişikliğine oldukça duyarlıdır. PaCO</w:t>
      </w:r>
      <w:r w:rsidRPr="009C378E">
        <w:rPr>
          <w:szCs w:val="24"/>
          <w:vertAlign w:val="subscript"/>
        </w:rPr>
        <w:t>2</w:t>
      </w:r>
      <w:r>
        <w:rPr>
          <w:szCs w:val="24"/>
        </w:rPr>
        <w:t xml:space="preserve"> düzeyini yakından etkileyen alveolar ventilasyon da bu nedenle CBF ile direkt ilişkilidir. Sentral kemoreseptörlerin stimulasyonu aracığıyla PaCO</w:t>
      </w:r>
      <w:r w:rsidRPr="009C378E">
        <w:rPr>
          <w:szCs w:val="24"/>
          <w:vertAlign w:val="subscript"/>
        </w:rPr>
        <w:t>2</w:t>
      </w:r>
      <w:r>
        <w:rPr>
          <w:szCs w:val="24"/>
        </w:rPr>
        <w:t xml:space="preserve"> ve pH değişikliklerinin CBF üzerine yansıması doğrudan olur. PaCO</w:t>
      </w:r>
      <w:r w:rsidRPr="009C378E">
        <w:rPr>
          <w:szCs w:val="24"/>
          <w:vertAlign w:val="subscript"/>
        </w:rPr>
        <w:t>2</w:t>
      </w:r>
      <w:r>
        <w:rPr>
          <w:szCs w:val="24"/>
        </w:rPr>
        <w:t xml:space="preserve"> artışına bağlı olarak gelişen arteriolar vazodilatasyon CBF’i artırır. Hipokapni de ise serebral vazokonstriksiyon ve CBF azalması olur. Hipoksemi ile alakalı </w:t>
      </w:r>
      <w:r>
        <w:rPr>
          <w:szCs w:val="24"/>
        </w:rPr>
        <w:lastRenderedPageBreak/>
        <w:t>serebrovasküler reaktivite ve bunların nörolojik patolojilerle ilişkisi hiperkapni kadar net bilinmemektedir.</w:t>
      </w:r>
    </w:p>
    <w:p w:rsidR="00E659A9" w:rsidRDefault="00E659A9" w:rsidP="00C20723">
      <w:pPr>
        <w:pStyle w:val="METN"/>
        <w:rPr>
          <w:szCs w:val="24"/>
        </w:rPr>
      </w:pPr>
      <w:r>
        <w:rPr>
          <w:szCs w:val="24"/>
        </w:rPr>
        <w:t xml:space="preserve">Serebral vazomotor reaktivite Alzheimer demansı </w:t>
      </w:r>
      <w:r>
        <w:rPr>
          <w:noProof/>
          <w:szCs w:val="24"/>
        </w:rPr>
        <w:t>[285, 286]</w:t>
      </w:r>
      <w:r>
        <w:rPr>
          <w:szCs w:val="24"/>
        </w:rPr>
        <w:t xml:space="preserve">, Parkinson hastalığı </w:t>
      </w:r>
      <w:r>
        <w:rPr>
          <w:noProof/>
          <w:szCs w:val="24"/>
        </w:rPr>
        <w:t>[287]</w:t>
      </w:r>
      <w:r>
        <w:rPr>
          <w:szCs w:val="24"/>
        </w:rPr>
        <w:t xml:space="preserve">, subaraknoid kanama </w:t>
      </w:r>
      <w:r>
        <w:rPr>
          <w:noProof/>
          <w:szCs w:val="24"/>
        </w:rPr>
        <w:t>[288]</w:t>
      </w:r>
      <w:r>
        <w:rPr>
          <w:szCs w:val="24"/>
        </w:rPr>
        <w:t xml:space="preserve">, kafa </w:t>
      </w:r>
      <w:proofErr w:type="gramStart"/>
      <w:r>
        <w:rPr>
          <w:szCs w:val="24"/>
        </w:rPr>
        <w:t>travması</w:t>
      </w:r>
      <w:proofErr w:type="gramEnd"/>
      <w:r>
        <w:rPr>
          <w:szCs w:val="24"/>
        </w:rPr>
        <w:t xml:space="preserve"> </w:t>
      </w:r>
      <w:r>
        <w:rPr>
          <w:noProof/>
          <w:szCs w:val="24"/>
        </w:rPr>
        <w:t>[289]</w:t>
      </w:r>
      <w:r>
        <w:rPr>
          <w:szCs w:val="24"/>
        </w:rPr>
        <w:t xml:space="preserve">, karotid arter steno-oklüzif hastalıkları </w:t>
      </w:r>
      <w:r>
        <w:rPr>
          <w:noProof/>
          <w:szCs w:val="24"/>
        </w:rPr>
        <w:t>[290]</w:t>
      </w:r>
      <w:r>
        <w:rPr>
          <w:szCs w:val="24"/>
        </w:rPr>
        <w:t xml:space="preserve">, inme </w:t>
      </w:r>
      <w:r>
        <w:rPr>
          <w:noProof/>
          <w:szCs w:val="24"/>
        </w:rPr>
        <w:t>[291]</w:t>
      </w:r>
      <w:r>
        <w:rPr>
          <w:szCs w:val="24"/>
        </w:rPr>
        <w:t xml:space="preserve">, geri-dönüşümlü serebral vazokonstriksiyon sendromu </w:t>
      </w:r>
      <w:r>
        <w:rPr>
          <w:noProof/>
          <w:szCs w:val="24"/>
        </w:rPr>
        <w:t>[292]</w:t>
      </w:r>
      <w:r>
        <w:rPr>
          <w:szCs w:val="24"/>
        </w:rPr>
        <w:t xml:space="preserve">, çeşitli metabolik </w:t>
      </w:r>
      <w:r>
        <w:rPr>
          <w:noProof/>
          <w:szCs w:val="24"/>
        </w:rPr>
        <w:t>[293]</w:t>
      </w:r>
      <w:r>
        <w:rPr>
          <w:szCs w:val="24"/>
        </w:rPr>
        <w:t xml:space="preserve"> ve otonomik sinir sistem hastalıklarında </w:t>
      </w:r>
      <w:r>
        <w:rPr>
          <w:noProof/>
          <w:szCs w:val="24"/>
        </w:rPr>
        <w:t>[263, 294]</w:t>
      </w:r>
      <w:r>
        <w:rPr>
          <w:szCs w:val="24"/>
        </w:rPr>
        <w:t xml:space="preserve"> çalışılmıştır. En çok kullanılıdığı hastalıklardan biri de migrendir.</w:t>
      </w:r>
    </w:p>
    <w:p w:rsidR="00E659A9" w:rsidRDefault="00E659A9" w:rsidP="00C20723">
      <w:pPr>
        <w:pStyle w:val="METN"/>
        <w:rPr>
          <w:szCs w:val="24"/>
        </w:rPr>
      </w:pPr>
      <w:r>
        <w:rPr>
          <w:szCs w:val="24"/>
        </w:rPr>
        <w:t xml:space="preserve">Migrenin interiktal dönemindeki vazomotor reaktivite yakın kızıl ötesi spektroskopi (NIRS) </w:t>
      </w:r>
      <w:proofErr w:type="gramStart"/>
      <w:r>
        <w:rPr>
          <w:szCs w:val="24"/>
        </w:rPr>
        <w:t>dahil</w:t>
      </w:r>
      <w:proofErr w:type="gramEnd"/>
      <w:r>
        <w:rPr>
          <w:szCs w:val="24"/>
        </w:rPr>
        <w:t xml:space="preserve"> birçok multimodal tetkiklerle öğrenilmiştir </w:t>
      </w:r>
      <w:r>
        <w:rPr>
          <w:noProof/>
          <w:szCs w:val="24"/>
        </w:rPr>
        <w:t>[236, 295]</w:t>
      </w:r>
      <w:r>
        <w:rPr>
          <w:szCs w:val="24"/>
        </w:rPr>
        <w:t xml:space="preserve">. TCD ile vazomotor reaktivite ölçümü için sık kullanılan yöntemler “breath-holding index (BHI)” ve karbondioksit vazomotor reaktivite (VMR) indeksi çalışmalarıdır </w:t>
      </w:r>
      <w:r>
        <w:rPr>
          <w:noProof/>
          <w:szCs w:val="24"/>
        </w:rPr>
        <w:t>[238, 296-299]</w:t>
      </w:r>
      <w:r>
        <w:rPr>
          <w:szCs w:val="24"/>
        </w:rPr>
        <w:t xml:space="preserve">. İstemli nefes tutma (BHI) sonrası MCA serebral kan akım hızı değişikliklerinin ölçümüyle aurasız migrenlilerde kontrol bireylere göre vazomotor reaktivitenin daha yüksek </w:t>
      </w:r>
      <w:r>
        <w:rPr>
          <w:noProof/>
          <w:szCs w:val="24"/>
        </w:rPr>
        <w:t>[237, 298, 300]</w:t>
      </w:r>
      <w:r>
        <w:rPr>
          <w:szCs w:val="24"/>
        </w:rPr>
        <w:t xml:space="preserve">, daha düşük </w:t>
      </w:r>
      <w:r>
        <w:rPr>
          <w:noProof/>
          <w:szCs w:val="24"/>
        </w:rPr>
        <w:t>[297, 301]</w:t>
      </w:r>
      <w:r>
        <w:rPr>
          <w:szCs w:val="24"/>
        </w:rPr>
        <w:t xml:space="preserve"> ve aralarında fark olmadığını gösteren </w:t>
      </w:r>
      <w:r>
        <w:rPr>
          <w:noProof/>
          <w:szCs w:val="24"/>
        </w:rPr>
        <w:t>[292, 299]</w:t>
      </w:r>
      <w:r>
        <w:rPr>
          <w:szCs w:val="24"/>
        </w:rPr>
        <w:t xml:space="preserve"> yani bir biriyle uyuşmayan sonuçlar ortaya çıkmıştır. Diğer taraftan auralı ve aurasız migrenliler arasında vazomotor reaktivitenin farklı olup olmadığı da tam olarak açığa kavuşmamış bir konudur. Bu amaçla yapılan çalışmalarda genellikle anlamlı fark olmadığı saptanmış </w:t>
      </w:r>
      <w:r>
        <w:rPr>
          <w:noProof/>
          <w:szCs w:val="24"/>
        </w:rPr>
        <w:t>[299, 302]</w:t>
      </w:r>
      <w:r>
        <w:rPr>
          <w:szCs w:val="24"/>
        </w:rPr>
        <w:t xml:space="preserve"> olmakla birlikte bazı çalışmalarda auralı migrende serebral VMR’nin aurasız olgulardan daha düşük olduğu bulunmuştur </w:t>
      </w:r>
      <w:r w:rsidRPr="002D7C60">
        <w:rPr>
          <w:noProof/>
          <w:szCs w:val="24"/>
        </w:rPr>
        <w:t>[303]</w:t>
      </w:r>
      <w:r w:rsidRPr="002D7C60">
        <w:rPr>
          <w:szCs w:val="24"/>
        </w:rPr>
        <w:t xml:space="preserve">. Tüm bu </w:t>
      </w:r>
      <w:r>
        <w:rPr>
          <w:szCs w:val="24"/>
        </w:rPr>
        <w:t>farklı</w:t>
      </w:r>
      <w:r w:rsidRPr="002D7C60">
        <w:rPr>
          <w:szCs w:val="24"/>
        </w:rPr>
        <w:t xml:space="preserve"> </w:t>
      </w:r>
      <w:r>
        <w:rPr>
          <w:szCs w:val="24"/>
        </w:rPr>
        <w:t>sonuçların en önemli nedeni araştırmacıların</w:t>
      </w:r>
      <w:r w:rsidRPr="002D7C60">
        <w:rPr>
          <w:szCs w:val="24"/>
        </w:rPr>
        <w:t xml:space="preserve"> </w:t>
      </w:r>
      <w:r>
        <w:rPr>
          <w:szCs w:val="24"/>
        </w:rPr>
        <w:t>görüşüne</w:t>
      </w:r>
      <w:r w:rsidRPr="002D7C60">
        <w:rPr>
          <w:szCs w:val="24"/>
        </w:rPr>
        <w:t xml:space="preserve"> göre birey</w:t>
      </w:r>
      <w:r>
        <w:rPr>
          <w:szCs w:val="24"/>
        </w:rPr>
        <w:t>sel</w:t>
      </w:r>
      <w:r w:rsidRPr="002D7C60">
        <w:rPr>
          <w:szCs w:val="24"/>
        </w:rPr>
        <w:t xml:space="preserve"> yüksek </w:t>
      </w:r>
      <w:r>
        <w:rPr>
          <w:szCs w:val="24"/>
        </w:rPr>
        <w:t>değişkenlik</w:t>
      </w:r>
      <w:r w:rsidRPr="002D7C60">
        <w:rPr>
          <w:szCs w:val="24"/>
        </w:rPr>
        <w:t>, hastalığın farklı fazları arasındaki farklı patofizyolojik mekanizmalar ve</w:t>
      </w:r>
      <w:r>
        <w:rPr>
          <w:szCs w:val="24"/>
        </w:rPr>
        <w:t xml:space="preserve"> </w:t>
      </w:r>
      <w:r w:rsidRPr="002D7C60">
        <w:rPr>
          <w:szCs w:val="24"/>
        </w:rPr>
        <w:t>farklı klinik özellikler</w:t>
      </w:r>
      <w:r>
        <w:rPr>
          <w:szCs w:val="24"/>
        </w:rPr>
        <w:t xml:space="preserve">dir </w:t>
      </w:r>
      <w:r>
        <w:rPr>
          <w:noProof/>
          <w:szCs w:val="24"/>
        </w:rPr>
        <w:t>[300]</w:t>
      </w:r>
      <w:r>
        <w:rPr>
          <w:szCs w:val="24"/>
        </w:rPr>
        <w:t>.</w:t>
      </w:r>
    </w:p>
    <w:p w:rsidR="00E659A9" w:rsidRDefault="00E659A9" w:rsidP="00C20723">
      <w:pPr>
        <w:pStyle w:val="METN"/>
        <w:rPr>
          <w:szCs w:val="24"/>
        </w:rPr>
      </w:pPr>
      <w:r>
        <w:rPr>
          <w:szCs w:val="24"/>
        </w:rPr>
        <w:t xml:space="preserve">Migrenli ve baş ağrısı olmayan kontrol bireylerde ortalama serebral kan akım hızı değişikliği paterninin “trifazik” olduğu görülmüştür. Faz-I ve Faz-III’de pozitif, nefes tutmanın devam ettiği Faz-II ise negatif akım hızı değişiklikleri olmaktadır. Faz-III istemli nefes tutmanın bitirilip normal nefes almaya başlama dönemini içerir. Bu fark migrenlilerdeki vazomotor reaktivenin bozukluğunun esas ölçüldüğü evreyi göstermektedir. Bu paternin ilk kez tanımlandığı çalışmada migrenli ve normal kişiler arasında özellikle Faz-II ortası ve Faz-III sonunda belirgin fark ortaya çıktığı belirtilmiştir </w:t>
      </w:r>
      <w:r>
        <w:rPr>
          <w:noProof/>
          <w:szCs w:val="24"/>
        </w:rPr>
        <w:t>[300]</w:t>
      </w:r>
      <w:r>
        <w:rPr>
          <w:szCs w:val="24"/>
        </w:rPr>
        <w:t xml:space="preserve">. Faz-II sırasında serebral </w:t>
      </w:r>
      <w:r>
        <w:rPr>
          <w:szCs w:val="24"/>
        </w:rPr>
        <w:lastRenderedPageBreak/>
        <w:t xml:space="preserve">kan akım hızının bazal değerine dönüşüne kadar geçen sürenin migrenlilerde uzadığı gösterilmiştir. Bunun olası nedenlerinden birinin nefes tutma sırasında migrenlilerde ortaya çıkan vazokonstriksiyona bağlı olduğu düşünülmektedir </w:t>
      </w:r>
      <w:r>
        <w:rPr>
          <w:noProof/>
          <w:szCs w:val="24"/>
        </w:rPr>
        <w:t>[236]</w:t>
      </w:r>
      <w:r>
        <w:rPr>
          <w:szCs w:val="24"/>
        </w:rPr>
        <w:t xml:space="preserve">. Bununla beraber, migrenli kişilerde daha önce bildirilen orta çaplı arter kompliyansının azalması ile ilişkili olarak serebral arterlerin de akımında benzer anormallik görülebileceği düşünülmüştür </w:t>
      </w:r>
      <w:r>
        <w:rPr>
          <w:noProof/>
          <w:szCs w:val="24"/>
        </w:rPr>
        <w:t>[304]</w:t>
      </w:r>
      <w:r>
        <w:rPr>
          <w:szCs w:val="24"/>
        </w:rPr>
        <w:t>. Sonuç olarak, bu yapılmış çalışmalar migrenli kişilerde serebral vazomotor reaktivitenin sağlıklı bireylerden farklı olduğunu işaret etmektedir.</w:t>
      </w:r>
    </w:p>
    <w:p w:rsidR="00E659A9" w:rsidRPr="00EC0BE1" w:rsidRDefault="00C20723" w:rsidP="00C20723">
      <w:pPr>
        <w:pStyle w:val="Balk2"/>
      </w:pPr>
      <w:bookmarkStart w:id="20" w:name="_Toc492677337"/>
      <w:r>
        <w:t xml:space="preserve">1.11. </w:t>
      </w:r>
      <w:r w:rsidR="00E659A9">
        <w:t>Hipotezler, sorular ve planlar</w:t>
      </w:r>
      <w:bookmarkEnd w:id="20"/>
    </w:p>
    <w:p w:rsidR="00E659A9" w:rsidRDefault="00E659A9" w:rsidP="00C20723">
      <w:pPr>
        <w:pStyle w:val="METN"/>
      </w:pPr>
      <w:r>
        <w:t>Bu çalışma iki soruyu aydınlatmak için planlamıştır.</w:t>
      </w:r>
    </w:p>
    <w:p w:rsidR="00E659A9" w:rsidRDefault="00E659A9" w:rsidP="00C20723">
      <w:pPr>
        <w:pStyle w:val="METN"/>
      </w:pPr>
      <w:r>
        <w:t>Bunlarda ilki patent foramen ovalenin migren olgularında serebral vazomotor reaktiviteye olan etkisinin belirlenmesidir. Dünyanın her tarafından gelen gözlemsel çalışmalar uniform olarak auralılarda daha yüksek oranda olarak migrenlilerde patent foramen ovale’nin daha sık olduğunu göstermiştir</w:t>
      </w:r>
      <w:r>
        <w:rPr>
          <w:noProof/>
        </w:rPr>
        <w:t>[179]</w:t>
      </w:r>
      <w:r>
        <w:t>. Bu birlikteliğin sık oluşu her iki antitenin toplumdaki yüksek prevalansı ile açıklanamaz.</w:t>
      </w:r>
      <w:r>
        <w:rPr>
          <w:noProof/>
        </w:rPr>
        <w:t>[305]</w:t>
      </w:r>
      <w:r>
        <w:t xml:space="preserve"> Hepsinde değil </w:t>
      </w:r>
      <w:r>
        <w:rPr>
          <w:noProof/>
        </w:rPr>
        <w:t>[199, 306]</w:t>
      </w:r>
      <w:r>
        <w:t xml:space="preserve"> ama bazı hastalarda perkütan PFO kapatılmasının migreni azalttığı yönünde veriler bulunması </w:t>
      </w:r>
      <w:r>
        <w:rPr>
          <w:noProof/>
        </w:rPr>
        <w:t>[307, 308]</w:t>
      </w:r>
      <w:r>
        <w:t xml:space="preserve"> aradaki bağlantının raslantısal değil nedensel olduğunu işaret edebilir. İlişki şant debisi yüksek olanlarda daha nettir. </w:t>
      </w:r>
      <w:r>
        <w:rPr>
          <w:noProof/>
        </w:rPr>
        <w:t>[183, 198]</w:t>
      </w:r>
      <w:r>
        <w:t xml:space="preserve"> Patofizyolojik olarak PFO’nun subklinik paradoksikal mikroembolizm </w:t>
      </w:r>
      <w:r>
        <w:rPr>
          <w:noProof/>
        </w:rPr>
        <w:t>[309]</w:t>
      </w:r>
      <w:r>
        <w:t xml:space="preserve">, serotonin gibi vazoaktif maddelerin metabolize oldukları pulmoner dolaşımdan PFO’dan geçerek kurtulması ve sistemik dolaşımda olağandan daha yüksek seviyeye çıkması </w:t>
      </w:r>
      <w:r>
        <w:rPr>
          <w:noProof/>
        </w:rPr>
        <w:t>[310]</w:t>
      </w:r>
      <w:r>
        <w:t xml:space="preserve"> ve embriyolojik bağlantı </w:t>
      </w:r>
      <w:r>
        <w:rPr>
          <w:noProof/>
        </w:rPr>
        <w:t>[311]</w:t>
      </w:r>
      <w:r>
        <w:t xml:space="preserve"> ile migreni tetikleyebileceği üzerinde durulmuştur. Ancak klinikte bu yönde destek veren bulgu çok azdır</w:t>
      </w:r>
      <w:r>
        <w:rPr>
          <w:noProof/>
        </w:rPr>
        <w:t>[305, 312]</w:t>
      </w:r>
      <w:r>
        <w:t>. Sözü edilen metabolitlerin etkisi ile oluşan ve mikroembolilerin temizlenmesini yavaşlatarak migreni tetikleyen serebral vazoreaktivite / otoregülasyon azalması patofizyolojideki boşluğu tamamlayabilir. Gerçekten de bir çalışmada yüksek dereceli sağdan sola şant olan PFO ve migreni olan olgularda dinamik serebral otoregülasyonun şant olmayanlardan daha fazla derecede bozuk olduğu gösterilmiştir.</w:t>
      </w:r>
      <w:r>
        <w:rPr>
          <w:noProof/>
        </w:rPr>
        <w:t>[312]</w:t>
      </w:r>
      <w:r>
        <w:t xml:space="preserve"> </w:t>
      </w:r>
      <w:r>
        <w:lastRenderedPageBreak/>
        <w:t>Çalışmamızda bu bulgulara sağdan sola şantın vazomotor reaktivite üzerine olan etkisi araştırılarak eklenmesi hedeflenmiştir.</w:t>
      </w:r>
    </w:p>
    <w:p w:rsidR="00E659A9" w:rsidRDefault="00E659A9" w:rsidP="00C20723">
      <w:pPr>
        <w:pStyle w:val="METN"/>
      </w:pPr>
      <w:r>
        <w:t>Çalışmamızın ikinci sorusu serebral paradoksikal mikroembolizmin (yani ajite SF injeksiyonunun) migreni nasıl tetikleyebildiğine dairdir. Bu amaçla ajite SF sonrası VMR yapılmıştır. Kontrast TCD sonrası migrenli olgularda ağrının tetiklenmesi ortalama %7,5 olup bu sağdan sola geniş şant bulunanlarda daha sık ve şiddetlidir</w:t>
      </w:r>
      <w:r>
        <w:rPr>
          <w:noProof/>
        </w:rPr>
        <w:t>[313]</w:t>
      </w:r>
      <w:r>
        <w:t>. Mikroembollerin kortikal yayınlan depresyonu provoke ederek ağrıyı oluşturan süreci başlattığı düşünülmektedir.</w:t>
      </w:r>
      <w:r>
        <w:rPr>
          <w:noProof/>
        </w:rPr>
        <w:t>[190, 309]</w:t>
      </w:r>
      <w:r>
        <w:t xml:space="preserve"> Ayrıca, mikroembolizm sonrası PFO ile bağlantılı olarak serebral biyoelektrik aktivitede de değişiklikler olduğu gösterilmiştir</w:t>
      </w:r>
      <w:r>
        <w:rPr>
          <w:noProof/>
        </w:rPr>
        <w:t>[191]</w:t>
      </w:r>
      <w:r>
        <w:t xml:space="preserve">. Bu değişiklikler mikroembolilerin verilmesinden hemen sonra çıkmaktadır ve büyük ölçüde ağrınınn tetiklenmesi ile bağlantılıdır. Çalışmamızda </w:t>
      </w:r>
      <w:proofErr w:type="gramStart"/>
      <w:r>
        <w:t>literatürde</w:t>
      </w:r>
      <w:proofErr w:type="gramEnd"/>
      <w:r>
        <w:t xml:space="preserve"> ilk kez mikroembolizmin serebral damar fonksiyonlarına olan etkisi araştırılmış olmaktadır.</w:t>
      </w:r>
    </w:p>
    <w:p w:rsidR="00AA51A2" w:rsidRDefault="00AA51A2">
      <w:pPr>
        <w:rPr>
          <w:rFonts w:ascii="Arial" w:hAnsi="Arial" w:cs="Arial"/>
          <w:b/>
          <w:sz w:val="24"/>
          <w:szCs w:val="24"/>
        </w:rPr>
      </w:pPr>
      <w:r>
        <w:rPr>
          <w:rFonts w:ascii="Arial" w:hAnsi="Arial" w:cs="Arial"/>
          <w:b/>
          <w:sz w:val="24"/>
          <w:szCs w:val="24"/>
        </w:rPr>
        <w:br w:type="page"/>
      </w:r>
    </w:p>
    <w:p w:rsidR="00E659A9" w:rsidRPr="00461F9A" w:rsidRDefault="006E2ACB" w:rsidP="006E2ACB">
      <w:pPr>
        <w:pStyle w:val="Balk1"/>
      </w:pPr>
      <w:bookmarkStart w:id="21" w:name="_Toc492677338"/>
      <w:r>
        <w:lastRenderedPageBreak/>
        <w:t xml:space="preserve">2. </w:t>
      </w:r>
      <w:r w:rsidRPr="00461F9A">
        <w:t>YÖNTEM VE HASTALAR</w:t>
      </w:r>
      <w:bookmarkEnd w:id="21"/>
    </w:p>
    <w:p w:rsidR="00E659A9" w:rsidRPr="00461F9A" w:rsidRDefault="00E659A9" w:rsidP="006E2ACB">
      <w:pPr>
        <w:pStyle w:val="Balk2"/>
      </w:pPr>
      <w:bookmarkStart w:id="22" w:name="_Toc492677339"/>
      <w:r w:rsidRPr="00461F9A">
        <w:t>2.1</w:t>
      </w:r>
      <w:r w:rsidR="006618EA">
        <w:t>.</w:t>
      </w:r>
      <w:r w:rsidRPr="00461F9A">
        <w:t xml:space="preserve"> </w:t>
      </w:r>
      <w:r w:rsidRPr="00954210">
        <w:t>Birey</w:t>
      </w:r>
      <w:r w:rsidRPr="00461F9A">
        <w:t xml:space="preserve"> </w:t>
      </w:r>
      <w:r w:rsidRPr="00954210">
        <w:t>seçimi: grupları</w:t>
      </w:r>
      <w:r w:rsidRPr="00461F9A">
        <w:t xml:space="preserve"> ve </w:t>
      </w:r>
      <w:r w:rsidRPr="00954210">
        <w:t>tanısal süreçler:</w:t>
      </w:r>
      <w:bookmarkEnd w:id="22"/>
    </w:p>
    <w:p w:rsidR="00E659A9" w:rsidRPr="00954210" w:rsidRDefault="00E659A9" w:rsidP="004C7E64">
      <w:pPr>
        <w:pStyle w:val="METN"/>
      </w:pPr>
      <w:r w:rsidRPr="00954210">
        <w:t xml:space="preserve">Bu tez kapsamında denek alınmasına “MİGREN, AURA, PATENT FORAMEN OVALE VE VAZOMOTOR REAKTİVİTE [Hacettepe MAP-VMR]” adı ile Hacettepe Üniversitesi Etik Kurul onayı alındıktan sonra başlanmıştır. 1 Nisan 2015-31 Temmuz 2017 tarihleri arasında kriterlere uygun bireyler çalışmaya dahil edilmiştir. Bu süreçte hastanemizin Nöroloji ve Kardiyoloji Bölümleri ile Nörosonoloji Birimine başvurmuş kişiler çalışma adayı olarak değerlendirilmişlerdir. </w:t>
      </w:r>
    </w:p>
    <w:p w:rsidR="00E659A9" w:rsidRPr="00461F9A" w:rsidRDefault="004C7E64" w:rsidP="004C7E64">
      <w:pPr>
        <w:pStyle w:val="Balk3"/>
      </w:pPr>
      <w:bookmarkStart w:id="23" w:name="_Toc492677340"/>
      <w:r>
        <w:t xml:space="preserve">2.1.1. </w:t>
      </w:r>
      <w:r w:rsidR="00E659A9" w:rsidRPr="00954210">
        <w:t>Temel d</w:t>
      </w:r>
      <w:r w:rsidR="00E659A9" w:rsidRPr="00461F9A">
        <w:t xml:space="preserve">ışlama </w:t>
      </w:r>
      <w:proofErr w:type="gramStart"/>
      <w:r w:rsidR="00E659A9" w:rsidRPr="00954210">
        <w:t>kriterleri</w:t>
      </w:r>
      <w:bookmarkEnd w:id="23"/>
      <w:proofErr w:type="gramEnd"/>
    </w:p>
    <w:p w:rsidR="00E659A9" w:rsidRPr="00954210" w:rsidRDefault="00E659A9" w:rsidP="00AC50D2">
      <w:pPr>
        <w:pStyle w:val="METN"/>
      </w:pPr>
      <w:r w:rsidRPr="00461F9A">
        <w:t>Aday bireylerin çalışmaya alınmama k</w:t>
      </w:r>
      <w:r w:rsidRPr="00954210">
        <w:t>ıstasları</w:t>
      </w:r>
      <w:r w:rsidRPr="00461F9A">
        <w:t>:</w:t>
      </w:r>
    </w:p>
    <w:p w:rsidR="00E659A9" w:rsidRPr="00954210" w:rsidRDefault="00E659A9" w:rsidP="00AC50D2">
      <w:pPr>
        <w:pStyle w:val="METN"/>
      </w:pPr>
      <w:r w:rsidRPr="00461F9A">
        <w:t xml:space="preserve">(1) </w:t>
      </w:r>
      <w:r w:rsidRPr="00954210">
        <w:t>İ</w:t>
      </w:r>
      <w:r w:rsidRPr="00461F9A">
        <w:t>nme geçirmiş olması</w:t>
      </w:r>
    </w:p>
    <w:p w:rsidR="00E659A9" w:rsidRPr="00954210" w:rsidRDefault="00E659A9" w:rsidP="00AC50D2">
      <w:pPr>
        <w:pStyle w:val="METN"/>
      </w:pPr>
      <w:r w:rsidRPr="00461F9A">
        <w:t xml:space="preserve">(2) </w:t>
      </w:r>
      <w:r w:rsidRPr="00954210">
        <w:t>K</w:t>
      </w:r>
      <w:r w:rsidRPr="00461F9A">
        <w:t>oroner hastalığının olması</w:t>
      </w:r>
    </w:p>
    <w:p w:rsidR="00E659A9" w:rsidRPr="00954210" w:rsidRDefault="00E659A9" w:rsidP="00AC50D2">
      <w:pPr>
        <w:pStyle w:val="METN"/>
      </w:pPr>
      <w:r w:rsidRPr="00461F9A">
        <w:t xml:space="preserve">(3) </w:t>
      </w:r>
      <w:r w:rsidRPr="00954210">
        <w:t>K</w:t>
      </w:r>
      <w:r w:rsidRPr="00461F9A">
        <w:t>ardiyak ritmin sinüs olmaması</w:t>
      </w:r>
    </w:p>
    <w:p w:rsidR="00E659A9" w:rsidRPr="00954210" w:rsidRDefault="00E659A9" w:rsidP="00AC50D2">
      <w:pPr>
        <w:pStyle w:val="METN"/>
      </w:pPr>
      <w:r w:rsidRPr="00461F9A">
        <w:t>(4) VKİ &gt; 30 olması</w:t>
      </w:r>
    </w:p>
    <w:p w:rsidR="00E659A9" w:rsidRPr="00954210" w:rsidRDefault="00E659A9" w:rsidP="00AC50D2">
      <w:pPr>
        <w:pStyle w:val="METN"/>
      </w:pPr>
      <w:r w:rsidRPr="00461F9A">
        <w:t>(5) Hipertansiyonunun olması veya anti hipertansif kullanımının olması</w:t>
      </w:r>
    </w:p>
    <w:p w:rsidR="00E659A9" w:rsidRPr="00954210" w:rsidRDefault="00E659A9" w:rsidP="00AC50D2">
      <w:pPr>
        <w:pStyle w:val="METN"/>
      </w:pPr>
      <w:r w:rsidRPr="00461F9A">
        <w:t>(6) Hiperlipidemi için ilaç kullanıyor olması</w:t>
      </w:r>
    </w:p>
    <w:p w:rsidR="00E659A9" w:rsidRPr="00954210" w:rsidRDefault="00E659A9" w:rsidP="00AC50D2">
      <w:pPr>
        <w:pStyle w:val="METN"/>
      </w:pPr>
      <w:r w:rsidRPr="00461F9A">
        <w:t>(7) Hamilelik</w:t>
      </w:r>
    </w:p>
    <w:p w:rsidR="00E659A9" w:rsidRPr="00954210" w:rsidRDefault="00E659A9" w:rsidP="00AC50D2">
      <w:pPr>
        <w:pStyle w:val="METN"/>
      </w:pPr>
      <w:r w:rsidRPr="00461F9A">
        <w:t>(8) Sigara içimi</w:t>
      </w:r>
    </w:p>
    <w:p w:rsidR="00E659A9" w:rsidRPr="00954210" w:rsidRDefault="00E659A9" w:rsidP="00AC50D2">
      <w:pPr>
        <w:pStyle w:val="METN"/>
      </w:pPr>
      <w:r w:rsidRPr="00461F9A">
        <w:t xml:space="preserve">(9) Nitratlar, ACE inhibitörleri, ARB, Kalsiyum kanal blokörleri ve Oral kontraseptif gibi </w:t>
      </w:r>
      <w:r w:rsidRPr="00954210">
        <w:t>reaktivite testi</w:t>
      </w:r>
      <w:r w:rsidRPr="00461F9A">
        <w:t xml:space="preserve"> sonuçlarını etkileme potansiyeli olan ilaçların kullanımı</w:t>
      </w:r>
    </w:p>
    <w:p w:rsidR="00E659A9" w:rsidRDefault="00E659A9" w:rsidP="00AC50D2">
      <w:pPr>
        <w:pStyle w:val="METN"/>
      </w:pPr>
      <w:r w:rsidRPr="00461F9A">
        <w:t>(10) Son 48 içinde migren atağının olması</w:t>
      </w:r>
    </w:p>
    <w:p w:rsidR="00E659A9" w:rsidRPr="00954210" w:rsidRDefault="00E659A9" w:rsidP="00AC50D2">
      <w:pPr>
        <w:pStyle w:val="METN"/>
      </w:pPr>
      <w:r>
        <w:t>(11) Karotis hastalığı olmaması</w:t>
      </w:r>
    </w:p>
    <w:p w:rsidR="00E659A9" w:rsidRPr="00954210" w:rsidRDefault="00E659A9" w:rsidP="00AC50D2">
      <w:pPr>
        <w:pStyle w:val="METN"/>
      </w:pPr>
      <w:proofErr w:type="gramStart"/>
      <w:r w:rsidRPr="00461F9A">
        <w:t>olarak</w:t>
      </w:r>
      <w:proofErr w:type="gramEnd"/>
      <w:r w:rsidRPr="00461F9A">
        <w:t xml:space="preserve"> kabul edilmiştir.</w:t>
      </w:r>
    </w:p>
    <w:p w:rsidR="00E659A9" w:rsidRPr="00954210" w:rsidRDefault="00E659A9" w:rsidP="00AC50D2">
      <w:pPr>
        <w:pStyle w:val="METN"/>
      </w:pPr>
      <w:r w:rsidRPr="00461F9A">
        <w:t xml:space="preserve">Hastalar bu </w:t>
      </w:r>
      <w:proofErr w:type="gramStart"/>
      <w:r w:rsidRPr="00461F9A">
        <w:t>kriterler</w:t>
      </w:r>
      <w:proofErr w:type="gramEnd"/>
      <w:r w:rsidRPr="00461F9A">
        <w:t xml:space="preserve"> açısından değerlendirildikten sonra yapılacak tetkiklerle ilgili ayrıntılı bilgi verilerek ona</w:t>
      </w:r>
      <w:r w:rsidRPr="00954210">
        <w:t>m</w:t>
      </w:r>
      <w:r w:rsidRPr="00461F9A">
        <w:t xml:space="preserve"> alınmıştır. Test öncesi yapılan renkli Doppler ultrasonografide servikokranial arterlerin normal olduğu </w:t>
      </w:r>
      <w:r w:rsidRPr="00954210">
        <w:t>her</w:t>
      </w:r>
      <w:r w:rsidRPr="00461F9A">
        <w:t>biri için dökümente edilmiştir.</w:t>
      </w:r>
      <w:r w:rsidRPr="00954210">
        <w:t xml:space="preserve"> Serebral hemodinamiyi etkileyebilecek herhangi bir patoloji olması halinde vaka çalışma dışı tutulmuştur.</w:t>
      </w:r>
    </w:p>
    <w:p w:rsidR="00E659A9" w:rsidRPr="00461F9A" w:rsidRDefault="004C7E64" w:rsidP="004C7E64">
      <w:pPr>
        <w:pStyle w:val="Balk3"/>
      </w:pPr>
      <w:bookmarkStart w:id="24" w:name="_Toc492677341"/>
      <w:r>
        <w:lastRenderedPageBreak/>
        <w:t xml:space="preserve">2.1.2. </w:t>
      </w:r>
      <w:r w:rsidR="00E659A9" w:rsidRPr="00954210">
        <w:t>Tanımlayıcı parametreler</w:t>
      </w:r>
      <w:bookmarkEnd w:id="24"/>
    </w:p>
    <w:p w:rsidR="00E659A9" w:rsidRPr="00461F9A" w:rsidRDefault="00E659A9" w:rsidP="00AC50D2">
      <w:pPr>
        <w:pStyle w:val="METN"/>
      </w:pPr>
      <w:r w:rsidRPr="00954210">
        <w:t xml:space="preserve">Çalışmaya </w:t>
      </w:r>
      <w:proofErr w:type="gramStart"/>
      <w:r w:rsidRPr="00954210">
        <w:t>dahil</w:t>
      </w:r>
      <w:proofErr w:type="gramEnd"/>
      <w:r w:rsidRPr="00954210">
        <w:t xml:space="preserve"> edilen tüm bireyler için toplanan veriler: yaş, cinsiyet, hematokrit düzeyi, Chapman ve Chapman yöntemi ile “el dominansı”, delikli kağıt testi ile “göz dominansı”dır </w:t>
      </w:r>
      <w:r>
        <w:rPr>
          <w:noProof/>
        </w:rPr>
        <w:t>[314,315]</w:t>
      </w:r>
      <w:r w:rsidRPr="00954210">
        <w:t xml:space="preserve">. Yapılmış ise (bu çalışma kapsamında ayrıca istenmemiştir.) beyin MR iskemik gliotik lezyon varlığı ve varsa sayı ve yerleşimi açısından değerlendirilmiştir. </w:t>
      </w:r>
    </w:p>
    <w:p w:rsidR="00E659A9" w:rsidRPr="00461F9A" w:rsidRDefault="004C7E64" w:rsidP="004C7E64">
      <w:pPr>
        <w:pStyle w:val="Balk3"/>
      </w:pPr>
      <w:bookmarkStart w:id="25" w:name="_Toc492677342"/>
      <w:r>
        <w:t xml:space="preserve">2.1.3. </w:t>
      </w:r>
      <w:r w:rsidR="00E659A9" w:rsidRPr="00461F9A">
        <w:t>Migren değerlendirmesi</w:t>
      </w:r>
      <w:bookmarkEnd w:id="25"/>
    </w:p>
    <w:p w:rsidR="00E659A9" w:rsidRPr="00461F9A" w:rsidRDefault="00E659A9" w:rsidP="00AC50D2">
      <w:pPr>
        <w:pStyle w:val="METN"/>
      </w:pPr>
      <w:r w:rsidRPr="007A1EF7">
        <w:t xml:space="preserve">Auralı ve aurasız migren tanısı için 2013 yılında yayınlanan ICHD-3 beta </w:t>
      </w:r>
      <w:proofErr w:type="gramStart"/>
      <w:r w:rsidRPr="007A1EF7">
        <w:t>kriterleri</w:t>
      </w:r>
      <w:proofErr w:type="gramEnd"/>
      <w:r w:rsidRPr="007A1EF7">
        <w:t xml:space="preserve"> esas alınmıştır </w:t>
      </w:r>
      <w:r w:rsidRPr="007A1EF7">
        <w:rPr>
          <w:noProof/>
        </w:rPr>
        <w:t>[12]</w:t>
      </w:r>
      <w:r w:rsidRPr="007A1EF7">
        <w:t>. Migreni olan kişilerin “migrenin başlama yaşı”, “atak tarafı” (</w:t>
      </w:r>
      <w:r w:rsidRPr="00461F9A">
        <w:t>Sol, Sağ, Ağırlıklı sol, Ağırlıklı sağ ve Bilateral olarak</w:t>
      </w:r>
      <w:r w:rsidRPr="007A1EF7">
        <w:t xml:space="preserve"> sınıflandırılmıştır), “</w:t>
      </w:r>
      <w:r w:rsidRPr="00461F9A">
        <w:t>atak sıklığı</w:t>
      </w:r>
      <w:r w:rsidRPr="007A1EF7">
        <w:t>”</w:t>
      </w:r>
      <w:r w:rsidRPr="00461F9A">
        <w:t xml:space="preserve"> (son 3 ay içindeki atak sayısı)</w:t>
      </w:r>
      <w:r w:rsidRPr="007A1EF7">
        <w:t>, “k</w:t>
      </w:r>
      <w:r w:rsidRPr="00461F9A">
        <w:t>ullanmakta olduğu ilaçlar</w:t>
      </w:r>
      <w:r w:rsidRPr="007A1EF7">
        <w:t>”, “migren proflaksisi ve atak tedavisi amacıyla kullandığı ilaçlar veya diğer yöntemler” kaydedilmiştir. Migren hastaları için MIDAS (</w:t>
      </w:r>
      <w:hyperlink r:id="rId13" w:history="1">
        <w:r w:rsidRPr="00461F9A">
          <w:t>Migraine Disability Assessment)</w:t>
        </w:r>
      </w:hyperlink>
      <w:r w:rsidRPr="00461F9A">
        <w:t xml:space="preserve"> puanı ve derecesi </w:t>
      </w:r>
      <w:r>
        <w:rPr>
          <w:noProof/>
        </w:rPr>
        <w:t>[316]</w:t>
      </w:r>
      <w:r w:rsidRPr="007A1EF7">
        <w:t xml:space="preserve">, </w:t>
      </w:r>
      <w:r w:rsidRPr="00461F9A">
        <w:t>Migraine Therapy Assessment Questionnaire (</w:t>
      </w:r>
      <w:r w:rsidRPr="00461F9A">
        <w:rPr>
          <w:rStyle w:val="Vurgu"/>
          <w:szCs w:val="24"/>
        </w:rPr>
        <w:t>MTAQ</w:t>
      </w:r>
      <w:r w:rsidRPr="00461F9A">
        <w:t xml:space="preserve">) </w:t>
      </w:r>
      <w:r>
        <w:rPr>
          <w:noProof/>
        </w:rPr>
        <w:t>[317]</w:t>
      </w:r>
      <w:r w:rsidRPr="00461F9A">
        <w:t xml:space="preserve"> ve </w:t>
      </w:r>
      <w:r w:rsidRPr="00461F9A">
        <w:rPr>
          <w:bCs/>
        </w:rPr>
        <w:t xml:space="preserve">Headache Impact Test </w:t>
      </w:r>
      <w:r>
        <w:rPr>
          <w:bCs/>
        </w:rPr>
        <w:t>(</w:t>
      </w:r>
      <w:r w:rsidRPr="003E78E7">
        <w:rPr>
          <w:bCs/>
        </w:rPr>
        <w:t>HIT-6</w:t>
      </w:r>
      <w:r>
        <w:rPr>
          <w:bCs/>
        </w:rPr>
        <w:t xml:space="preserve">) </w:t>
      </w:r>
      <w:r w:rsidRPr="00461F9A">
        <w:rPr>
          <w:bCs/>
        </w:rPr>
        <w:t>skorları hesaplanmış</w:t>
      </w:r>
      <w:r w:rsidRPr="007A1EF7">
        <w:rPr>
          <w:bCs/>
        </w:rPr>
        <w:t xml:space="preserve"> ve migren nedenli disabilite seviyesi belirlenmiştir</w:t>
      </w:r>
      <w:r w:rsidRPr="00461F9A">
        <w:rPr>
          <w:bCs/>
        </w:rPr>
        <w:t>.</w:t>
      </w:r>
      <w:r w:rsidRPr="007A1EF7">
        <w:rPr>
          <w:bCs/>
        </w:rPr>
        <w:t xml:space="preserve"> </w:t>
      </w:r>
      <w:r>
        <w:rPr>
          <w:bCs/>
          <w:noProof/>
        </w:rPr>
        <w:t>[318]</w:t>
      </w:r>
      <w:r w:rsidRPr="007A1EF7">
        <w:rPr>
          <w:bCs/>
        </w:rPr>
        <w:t xml:space="preserve"> </w:t>
      </w:r>
      <w:r w:rsidRPr="00461F9A">
        <w:t>MIDAS skoru 0-5 arası “Derece-1” (</w:t>
      </w:r>
      <w:r w:rsidRPr="00461F9A">
        <w:rPr>
          <w:lang w:eastAsia="tr-TR"/>
        </w:rPr>
        <w:t>Hiç kayıp yok ya da çok az), 6-10 arası “Derece-2” (Hafif kayıp), 11-20 arası “Derece-3” (Orta derecede kayıp) ve 21 ile üzeri “Derece-4” (Ciddi kayıp) olarak kategorize edilmiştir.</w:t>
      </w:r>
    </w:p>
    <w:p w:rsidR="00E659A9" w:rsidRPr="00461F9A" w:rsidRDefault="004C7E64" w:rsidP="004C7E64">
      <w:pPr>
        <w:pStyle w:val="Balk3"/>
      </w:pPr>
      <w:bookmarkStart w:id="26" w:name="_Toc492677343"/>
      <w:r>
        <w:t xml:space="preserve">2.1.4. </w:t>
      </w:r>
      <w:r w:rsidR="00E659A9" w:rsidRPr="00461F9A">
        <w:t>Patent foramen ovale tanısı ve derecelendirmesi</w:t>
      </w:r>
      <w:bookmarkEnd w:id="26"/>
    </w:p>
    <w:p w:rsidR="00E659A9" w:rsidRDefault="00E659A9" w:rsidP="00AC50D2">
      <w:pPr>
        <w:pStyle w:val="METN"/>
      </w:pPr>
      <w:r>
        <w:t>İlk önce servikal ve transkranial renkli Doppler ultrasonografi (RDUS) incelemesi yapılmıştır. Servikokranial arterlerin nörosonolojik olarak normal olduğunun görülmesi sonrası kişilere PFO varlığının tespiti için transkranial Doppler (TCD) ile “Bubble test” yapılmıştır.</w:t>
      </w:r>
    </w:p>
    <w:p w:rsidR="00E659A9" w:rsidRDefault="00E659A9" w:rsidP="00AC50D2">
      <w:pPr>
        <w:pStyle w:val="METN"/>
      </w:pPr>
      <w:r>
        <w:t xml:space="preserve">Tüm TCD kayıtları </w:t>
      </w:r>
      <w:r w:rsidRPr="00A70ED8">
        <w:t>MultiDop</w:t>
      </w:r>
      <w:r w:rsidRPr="00461F9A">
        <w:t>®</w:t>
      </w:r>
      <w:r w:rsidRPr="00A70ED8">
        <w:t xml:space="preserve"> XL cihazı ile elde olunmuş ve kranial arterler DWL kafa bandı</w:t>
      </w:r>
      <w:r>
        <w:t xml:space="preserve"> ile sabitlenen 2 MHz problar vasıtasıyla </w:t>
      </w:r>
      <w:proofErr w:type="gramStart"/>
      <w:r>
        <w:t>prosedür</w:t>
      </w:r>
      <w:proofErr w:type="gramEnd"/>
      <w:r>
        <w:t xml:space="preserve"> boyunca monitörize edilmiştir. Sırt üstü yatan denekte her iki tarafta orta serebral arter (“middle cerebral artery”: MCA) M1 segme</w:t>
      </w:r>
      <w:r w:rsidR="00AC50D2">
        <w:t xml:space="preserve">nti monitörize edilmiştir (Resim </w:t>
      </w:r>
      <w:proofErr w:type="gramStart"/>
      <w:r w:rsidR="00AC50D2">
        <w:t>2.</w:t>
      </w:r>
      <w:r w:rsidR="00DE5166">
        <w:t>1</w:t>
      </w:r>
      <w:proofErr w:type="gramEnd"/>
      <w:r>
        <w:t xml:space="preserve">). Bu arterin sonografik belirlenmesi standart kurallar temelinde yapılmıştır </w:t>
      </w:r>
      <w:r>
        <w:rPr>
          <w:noProof/>
        </w:rPr>
        <w:t>[319, 320]</w:t>
      </w:r>
      <w:r>
        <w:t xml:space="preserve">. Kısaca, transtemporal kemik penceresinden </w:t>
      </w:r>
      <w:r>
        <w:lastRenderedPageBreak/>
        <w:t>2 MHz transduser ile 45-50 mm derinlikte proba doğru olan akım MCA M1 segmentine ait olarak kabul edilmiştir. Bu hastalarda ayrıca internal karotis arter (“Internal carotid artery”: ICA) rostral bifurkasyosu ve posterior serebral arterler (“Posterior cerebral Artery”: PCA) de insone edilerek hastanın vazomotor reaktivite (VMR) testleri için uygunluğu da belirlenmiştir. PCA’nın sonografik tanısı da geleneksel kurallara göre yapılmıştır. Buna göre MCA ve ICA bifurkasyosu (burada anterior serebral arterin transduserden uzaklaşır tarzdaki akımı görülür) belirlendikten sonra posterior transtemporal sonik pencereden prob 20</w:t>
      </w:r>
      <w:r w:rsidRPr="00461F9A">
        <w:rPr>
          <w:vertAlign w:val="superscript"/>
        </w:rPr>
        <w:t>o</w:t>
      </w:r>
      <w:r>
        <w:t xml:space="preserve"> kadar arkaya yönlendirilmiştir. Bu </w:t>
      </w:r>
      <w:proofErr w:type="gramStart"/>
      <w:r>
        <w:t>oryantasyonda</w:t>
      </w:r>
      <w:proofErr w:type="gramEnd"/>
      <w:r>
        <w:t xml:space="preserve"> 60-70 mm arasında proba doğru PCA P1 segmentindeki ve probdan uzaklaşır tarzdaki PCA P2 segmentindeki akımlar belirlenmiştir. P2 segmentine yakın komşuluk içindeki Rozental’in bazal venindeki akımın görülmesi halinde P2 tanısı konulmuş, diğer durumlarda prob tekrar ön tarafa çevrilerek bu sinyalin ICA tepe veya MCA proksimal akımı olmadığından iyice emin olunmuştur.</w:t>
      </w:r>
    </w:p>
    <w:p w:rsidR="00E659A9" w:rsidRDefault="00E659A9" w:rsidP="00AC50D2">
      <w:pPr>
        <w:pStyle w:val="METN"/>
        <w:rPr>
          <w:szCs w:val="24"/>
        </w:rPr>
      </w:pPr>
      <w:r>
        <w:rPr>
          <w:szCs w:val="24"/>
        </w:rPr>
        <w:t>Önkolda (sıklıkla sol taraftaki antekübital ven) yer alan venöz kateter aracılığıyla önce istirahat halinde ardından da hasta Valsalva manevrası yapılması esnasında 9 cc SF ile 1 cc oda havası karışımı stopcock ile bağlanmış iki 10-cc’lik enjektör sistemi ile ajite edilerek elde edilen karışım bolus olarak enjekte edilmiştir. Her iki MCA’da ilk 40 saniye içinde tespit edilen mikroembolik sinyal (MES) sayısı ve yığılımı belirlenmiştir. Uluslararası Konsensus Konferansı’nın tarafımızdan daha önce gerçekleştirilmiş olan modifikasyonu uyarında PFO’ya eşlik eden sağdan sola şant (Right-to-Left shunt: RLS)</w:t>
      </w:r>
      <w:r w:rsidR="00AC50D2">
        <w:rPr>
          <w:szCs w:val="24"/>
        </w:rPr>
        <w:t xml:space="preserve">  derecesi tanımlanmıştır (</w:t>
      </w:r>
      <w:r w:rsidR="00AC50D2">
        <w:t>Resim</w:t>
      </w:r>
      <w:r>
        <w:rPr>
          <w:szCs w:val="24"/>
        </w:rPr>
        <w:t xml:space="preserve"> </w:t>
      </w:r>
      <w:proofErr w:type="gramStart"/>
      <w:r w:rsidR="00AC50D2">
        <w:rPr>
          <w:szCs w:val="24"/>
        </w:rPr>
        <w:t>2.</w:t>
      </w:r>
      <w:r w:rsidR="00DE5166">
        <w:rPr>
          <w:szCs w:val="24"/>
        </w:rPr>
        <w:t>2</w:t>
      </w:r>
      <w:proofErr w:type="gramEnd"/>
      <w:r>
        <w:rPr>
          <w:szCs w:val="24"/>
        </w:rPr>
        <w:t xml:space="preserve">) </w:t>
      </w:r>
      <w:r>
        <w:rPr>
          <w:noProof/>
          <w:szCs w:val="24"/>
        </w:rPr>
        <w:t>[321]</w:t>
      </w:r>
      <w:r>
        <w:rPr>
          <w:szCs w:val="24"/>
        </w:rPr>
        <w:t xml:space="preserve">. Bu sisteme göre hiç MES olmaması “Derece-0”, 20 ve daha az MES olması “Derece-1”, 20’den fazla MES olması ama perdelenme olmaması “Derece-2” olarak sınıflanmıştır. Perdelenme tek bir spektrumda çok sayıda (&gt;20) MES olması nedeniyle </w:t>
      </w:r>
      <w:proofErr w:type="gramStart"/>
      <w:r>
        <w:rPr>
          <w:szCs w:val="24"/>
        </w:rPr>
        <w:t>konfigürasyonun</w:t>
      </w:r>
      <w:proofErr w:type="gramEnd"/>
      <w:r>
        <w:rPr>
          <w:szCs w:val="24"/>
        </w:rPr>
        <w:t xml:space="preserve"> zarf çizgisinin distorsiyona uğraması ve seçilememesidir. Perdelenme olması ve MES sinyalinin sayılamayacak kadar çok olması durumunda RLS “Derece-3” olarak kategorize edilir. Bu çalışmaya sadece Derece-0 ve Derece-3 RLS anısı konulan bireyler </w:t>
      </w:r>
      <w:proofErr w:type="gramStart"/>
      <w:r>
        <w:rPr>
          <w:szCs w:val="24"/>
        </w:rPr>
        <w:t>dahil</w:t>
      </w:r>
      <w:proofErr w:type="gramEnd"/>
      <w:r>
        <w:rPr>
          <w:szCs w:val="24"/>
        </w:rPr>
        <w:t xml:space="preserve"> edilmiştir. Her hastada bu derecelendirme için Valsalvalı test esas alınmıştır.</w:t>
      </w:r>
    </w:p>
    <w:tbl>
      <w:tblPr>
        <w:tblStyle w:val="TabloKlavuzu"/>
        <w:tblW w:w="0" w:type="auto"/>
        <w:tblLook w:val="04A0" w:firstRow="1" w:lastRow="0" w:firstColumn="1" w:lastColumn="0" w:noHBand="0" w:noVBand="1"/>
      </w:tblPr>
      <w:tblGrid>
        <w:gridCol w:w="8210"/>
      </w:tblGrid>
      <w:tr w:rsidR="00E659A9" w:rsidTr="00AC50D2">
        <w:tc>
          <w:tcPr>
            <w:tcW w:w="8210" w:type="dxa"/>
          </w:tcPr>
          <w:p w:rsidR="00E659A9" w:rsidRDefault="00E659A9" w:rsidP="00FD4BA1">
            <w:pPr>
              <w:autoSpaceDE w:val="0"/>
              <w:autoSpaceDN w:val="0"/>
              <w:adjustRightInd w:val="0"/>
              <w:jc w:val="center"/>
              <w:rPr>
                <w:rFonts w:ascii="Arial" w:hAnsi="Arial" w:cs="Arial"/>
                <w:sz w:val="24"/>
                <w:szCs w:val="24"/>
              </w:rPr>
            </w:pPr>
            <w:r w:rsidRPr="00CD6228">
              <w:rPr>
                <w:rFonts w:ascii="Arial" w:hAnsi="Arial" w:cs="Arial"/>
                <w:noProof/>
                <w:sz w:val="24"/>
                <w:szCs w:val="24"/>
                <w:lang w:eastAsia="tr-TR"/>
              </w:rPr>
              <w:lastRenderedPageBreak/>
              <w:drawing>
                <wp:inline distT="0" distB="0" distL="0" distR="0" wp14:anchorId="042BE05E" wp14:editId="224B1A44">
                  <wp:extent cx="2809875" cy="1718046"/>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039" cy="1733432"/>
                          </a:xfrm>
                          <a:prstGeom prst="rect">
                            <a:avLst/>
                          </a:prstGeom>
                          <a:noFill/>
                          <a:ln>
                            <a:noFill/>
                          </a:ln>
                        </pic:spPr>
                      </pic:pic>
                    </a:graphicData>
                  </a:graphic>
                </wp:inline>
              </w:drawing>
            </w:r>
            <w:r w:rsidRPr="00CD6228">
              <w:rPr>
                <w:rFonts w:ascii="Arial" w:hAnsi="Arial" w:cs="Arial"/>
                <w:noProof/>
                <w:sz w:val="24"/>
                <w:szCs w:val="24"/>
                <w:lang w:eastAsia="tr-TR"/>
              </w:rPr>
              <w:drawing>
                <wp:inline distT="0" distB="0" distL="0" distR="0" wp14:anchorId="363B6B4F" wp14:editId="20908FEA">
                  <wp:extent cx="2933700" cy="172392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2635" cy="1746803"/>
                          </a:xfrm>
                          <a:prstGeom prst="rect">
                            <a:avLst/>
                          </a:prstGeom>
                          <a:noFill/>
                          <a:ln>
                            <a:noFill/>
                          </a:ln>
                        </pic:spPr>
                      </pic:pic>
                    </a:graphicData>
                  </a:graphic>
                </wp:inline>
              </w:drawing>
            </w:r>
          </w:p>
          <w:p w:rsidR="00E659A9" w:rsidRDefault="00E659A9">
            <w:pPr>
              <w:autoSpaceDE w:val="0"/>
              <w:autoSpaceDN w:val="0"/>
              <w:adjustRightInd w:val="0"/>
              <w:jc w:val="both"/>
              <w:rPr>
                <w:rFonts w:ascii="Arial" w:hAnsi="Arial" w:cs="Arial"/>
                <w:sz w:val="24"/>
                <w:szCs w:val="24"/>
              </w:rPr>
            </w:pPr>
          </w:p>
        </w:tc>
      </w:tr>
    </w:tbl>
    <w:p w:rsidR="00E659A9" w:rsidRDefault="00AC50D2" w:rsidP="00AC50D2">
      <w:pPr>
        <w:pStyle w:val="Resimler5"/>
        <w:jc w:val="center"/>
      </w:pPr>
      <w:bookmarkStart w:id="27" w:name="_Toc492677201"/>
      <w:r>
        <w:t>Resim</w:t>
      </w:r>
      <w:r w:rsidRPr="00461F9A">
        <w:t xml:space="preserve"> </w:t>
      </w:r>
      <w:proofErr w:type="gramStart"/>
      <w:r>
        <w:t>2.</w:t>
      </w:r>
      <w:r w:rsidR="00DE5166">
        <w:t>1</w:t>
      </w:r>
      <w:proofErr w:type="gramEnd"/>
      <w:r>
        <w:t xml:space="preserve">. </w:t>
      </w:r>
      <w:r w:rsidRPr="00AC50D2">
        <w:rPr>
          <w:b w:val="0"/>
        </w:rPr>
        <w:t>“Bubble testi” düzeni</w:t>
      </w:r>
      <w:bookmarkEnd w:id="27"/>
    </w:p>
    <w:p w:rsidR="00AC50D2" w:rsidRDefault="00AC50D2" w:rsidP="00461F9A">
      <w:pPr>
        <w:autoSpaceDE w:val="0"/>
        <w:autoSpaceDN w:val="0"/>
        <w:adjustRightInd w:val="0"/>
        <w:ind w:firstLine="567"/>
        <w:jc w:val="both"/>
        <w:rPr>
          <w:rFonts w:ascii="Arial" w:hAnsi="Arial" w:cs="Arial"/>
          <w:sz w:val="24"/>
          <w:szCs w:val="24"/>
        </w:rPr>
      </w:pPr>
    </w:p>
    <w:tbl>
      <w:tblPr>
        <w:tblStyle w:val="TabloKlavuzu"/>
        <w:tblW w:w="0" w:type="auto"/>
        <w:tblLook w:val="04A0" w:firstRow="1" w:lastRow="0" w:firstColumn="1" w:lastColumn="0" w:noHBand="0" w:noVBand="1"/>
      </w:tblPr>
      <w:tblGrid>
        <w:gridCol w:w="8210"/>
      </w:tblGrid>
      <w:tr w:rsidR="00E659A9" w:rsidTr="00AC50D2">
        <w:tc>
          <w:tcPr>
            <w:tcW w:w="8210" w:type="dxa"/>
          </w:tcPr>
          <w:p w:rsidR="00E659A9" w:rsidRDefault="00E659A9" w:rsidP="00461F9A">
            <w:pPr>
              <w:autoSpaceDE w:val="0"/>
              <w:autoSpaceDN w:val="0"/>
              <w:adjustRightInd w:val="0"/>
              <w:jc w:val="center"/>
              <w:rPr>
                <w:rFonts w:ascii="Arial" w:hAnsi="Arial" w:cs="Arial"/>
                <w:sz w:val="24"/>
                <w:szCs w:val="24"/>
              </w:rPr>
            </w:pPr>
            <w:r w:rsidRPr="00CD6228">
              <w:rPr>
                <w:rFonts w:ascii="Arial" w:hAnsi="Arial" w:cs="Arial"/>
                <w:noProof/>
                <w:sz w:val="24"/>
                <w:szCs w:val="24"/>
                <w:lang w:eastAsia="tr-TR"/>
              </w:rPr>
              <w:drawing>
                <wp:inline distT="0" distB="0" distL="0" distR="0" wp14:anchorId="64EDD228" wp14:editId="12A433AF">
                  <wp:extent cx="2382553" cy="2529053"/>
                  <wp:effectExtent l="0" t="0" r="0" b="508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3740" cy="2540928"/>
                          </a:xfrm>
                          <a:prstGeom prst="rect">
                            <a:avLst/>
                          </a:prstGeom>
                          <a:noFill/>
                          <a:ln>
                            <a:noFill/>
                          </a:ln>
                        </pic:spPr>
                      </pic:pic>
                    </a:graphicData>
                  </a:graphic>
                </wp:inline>
              </w:drawing>
            </w:r>
            <w:r w:rsidRPr="00CD6228">
              <w:rPr>
                <w:rFonts w:ascii="Arial" w:hAnsi="Arial" w:cs="Arial"/>
                <w:noProof/>
                <w:sz w:val="24"/>
                <w:szCs w:val="24"/>
                <w:lang w:eastAsia="tr-TR"/>
              </w:rPr>
              <w:drawing>
                <wp:inline distT="0" distB="0" distL="0" distR="0" wp14:anchorId="405F6A4F" wp14:editId="277E3935">
                  <wp:extent cx="2389700" cy="2529358"/>
                  <wp:effectExtent l="0" t="0" r="0" b="444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844" cy="2541153"/>
                          </a:xfrm>
                          <a:prstGeom prst="rect">
                            <a:avLst/>
                          </a:prstGeom>
                          <a:noFill/>
                          <a:ln>
                            <a:noFill/>
                          </a:ln>
                        </pic:spPr>
                      </pic:pic>
                    </a:graphicData>
                  </a:graphic>
                </wp:inline>
              </w:drawing>
            </w:r>
          </w:p>
          <w:p w:rsidR="00E659A9" w:rsidRDefault="00E659A9">
            <w:pPr>
              <w:autoSpaceDE w:val="0"/>
              <w:autoSpaceDN w:val="0"/>
              <w:adjustRightInd w:val="0"/>
              <w:jc w:val="both"/>
              <w:rPr>
                <w:rFonts w:ascii="Arial" w:hAnsi="Arial" w:cs="Arial"/>
                <w:sz w:val="24"/>
                <w:szCs w:val="24"/>
              </w:rPr>
            </w:pPr>
          </w:p>
        </w:tc>
      </w:tr>
    </w:tbl>
    <w:p w:rsidR="00AC50D2" w:rsidRDefault="00AC50D2" w:rsidP="00AC50D2">
      <w:pPr>
        <w:pStyle w:val="Resimler5"/>
        <w:jc w:val="center"/>
      </w:pPr>
      <w:bookmarkStart w:id="28" w:name="_Toc492677202"/>
      <w:r>
        <w:t>Resim</w:t>
      </w:r>
      <w:r w:rsidRPr="00461F9A">
        <w:t xml:space="preserve"> </w:t>
      </w:r>
      <w:proofErr w:type="gramStart"/>
      <w:r>
        <w:t>2.</w:t>
      </w:r>
      <w:r w:rsidR="00DE5166">
        <w:t>2</w:t>
      </w:r>
      <w:proofErr w:type="gramEnd"/>
      <w:r>
        <w:t xml:space="preserve">. </w:t>
      </w:r>
      <w:r w:rsidRPr="00AC50D2">
        <w:rPr>
          <w:b w:val="0"/>
        </w:rPr>
        <w:t>Sağdan sola şantın derecelendirilmesi</w:t>
      </w:r>
      <w:bookmarkEnd w:id="28"/>
    </w:p>
    <w:p w:rsidR="00E659A9" w:rsidRPr="00461F9A" w:rsidRDefault="004C7E64" w:rsidP="004C7E64">
      <w:pPr>
        <w:pStyle w:val="Balk3"/>
      </w:pPr>
      <w:bookmarkStart w:id="29" w:name="_Toc492677344"/>
      <w:r>
        <w:lastRenderedPageBreak/>
        <w:t xml:space="preserve">2.1.5. </w:t>
      </w:r>
      <w:r w:rsidR="00E659A9" w:rsidRPr="00461F9A">
        <w:t>Vazomotor reaktivite testleri</w:t>
      </w:r>
      <w:bookmarkEnd w:id="29"/>
    </w:p>
    <w:p w:rsidR="00E659A9" w:rsidRPr="009D4AB0" w:rsidRDefault="00E659A9" w:rsidP="00AC50D2">
      <w:pPr>
        <w:pStyle w:val="METN"/>
      </w:pPr>
      <w:r w:rsidRPr="009D4AB0">
        <w:t>Olası bir etkiyi bertaraf edebilmek için hastalar PFO tanısı için yapılan nörosonolojik incelemeden en az 24 saat sonra VMR için test edilmiştir. Hastalara TCD yapılmadan önce tetkik sonrası atağının olup olmadığı öğrenilmiştir.</w:t>
      </w:r>
    </w:p>
    <w:p w:rsidR="00E659A9" w:rsidRPr="00461F9A" w:rsidRDefault="00E659A9" w:rsidP="00AC50D2">
      <w:pPr>
        <w:pStyle w:val="METN"/>
      </w:pPr>
      <w:r w:rsidRPr="00461F9A">
        <w:t>VMR istemli nefes tutma (İngilizce akronimi “BHT”: “The Breath Holding test”) ve hiperventilasyona olan yüzde değişiklik (kısaca “HPV”) testleri ile yapılmıştır. Standart olarak 30 saniye nefes tutma ve 25 saniye hiperventilasyon yaptırılmıştır. Bu kadar dayanamayan hastalarda nefes tutma süresi 15 saniyeden uzun ise BHI (“Breath Holding Index”) hesaplanmıştır. İlk 10 hastada BHT esnasında nefes alıp almama durumunu belirlemek için nasal maske ile etPO</w:t>
      </w:r>
      <w:r w:rsidRPr="00461F9A">
        <w:rPr>
          <w:vertAlign w:val="subscript"/>
        </w:rPr>
        <w:t>2</w:t>
      </w:r>
      <w:r w:rsidRPr="00461F9A">
        <w:t xml:space="preserve"> monitörizasyonu yapılmış ama bu genç hasta </w:t>
      </w:r>
      <w:proofErr w:type="gramStart"/>
      <w:r w:rsidRPr="00461F9A">
        <w:t>popülasyonunda</w:t>
      </w:r>
      <w:proofErr w:type="gramEnd"/>
      <w:r w:rsidRPr="00461F9A">
        <w:t xml:space="preserve"> nefes kaçırmaya hiç rastlanmaması üzerine bu uygulamaya devam edilmemiştir. Arter insonasyonu değişikleri esnasında kan basıncı ölçümü yapılmıştır. </w:t>
      </w:r>
    </w:p>
    <w:p w:rsidR="00FD4BA1" w:rsidRDefault="00E659A9" w:rsidP="00AC50D2">
      <w:pPr>
        <w:pStyle w:val="METN"/>
      </w:pPr>
      <w:r w:rsidRPr="00461F9A">
        <w:t>BHT esnasında geliştiği bilinen trifazik yanıt dönemlerinde Doppler parametreleri ölçülmüştür (</w:t>
      </w:r>
      <w:r w:rsidR="00AC50D2">
        <w:t>Resim</w:t>
      </w:r>
      <w:r w:rsidR="00AC50D2" w:rsidRPr="00461F9A">
        <w:t xml:space="preserve"> </w:t>
      </w:r>
      <w:proofErr w:type="gramStart"/>
      <w:r w:rsidR="00AC50D2">
        <w:t>2.</w:t>
      </w:r>
      <w:r w:rsidR="00DE5166">
        <w:t>3</w:t>
      </w:r>
      <w:proofErr w:type="gramEnd"/>
      <w:r w:rsidRPr="00461F9A">
        <w:t xml:space="preserve">) </w:t>
      </w:r>
      <w:r>
        <w:rPr>
          <w:noProof/>
        </w:rPr>
        <w:t>[300]</w:t>
      </w:r>
      <w:r w:rsidRPr="00461F9A">
        <w:t xml:space="preserve">. </w:t>
      </w:r>
      <w:proofErr w:type="gramStart"/>
      <w:r w:rsidRPr="00461F9A">
        <w:t>Ölçülen Doppler parametreleri Pik sistolik akım hızı (PSV: “Peak Systolic Velocity”), end-diastolik akım hızı (EDV: “End-Diastolic Velocity”), ortalama akım hızı (Vmean: EDV +(PSV-EDV)/3) ve Pulsatilite indeksidir (Pİ, (PI=PSV-EDV)/Vmean).</w:t>
      </w:r>
      <w:r>
        <w:rPr>
          <w:noProof/>
        </w:rPr>
        <w:t>[322]</w:t>
      </w:r>
      <w:r w:rsidRPr="00461F9A">
        <w:t xml:space="preserve"> Genellikle nefes tutmaya başlanılan ilk 5-saniye içinde olan erken ve geçici akım hızı artışı dönemi (Faz I) hastaların çoğunda güvenilir bir şekilde izlenemediği için hesaba katılmamıştır. </w:t>
      </w:r>
      <w:proofErr w:type="gramEnd"/>
      <w:r w:rsidRPr="00461F9A">
        <w:t>Nefes tutma esnasında olan maksimum akım hızı azalması “Dip yanıtı” (Faz II) olarak işaretlenip, bu noktaya ait Doppler parametreleri ölçülmüştür. Nefes tutmanın bitirilmesi ile akım hızı çabucak artar ve 2-4 saniye sonra azalıp 10-sn içinde normalize olur. Bu dönemdeki maksimum akım hızı “apne reaksiyonu (faz III)” olarak işaretlenip Doppler parametreleri ölçülmüştür. Bazal değere göre apne ortalama akım hızı yüzde artışının apne yani volunter nefes tutma süresine bölünmesi ile “nefes tutma indeksi” (BHI:”Breath Holding Index”) hesaplanır (</w:t>
      </w:r>
      <w:r w:rsidR="00AC50D2">
        <w:t>Resim</w:t>
      </w:r>
      <w:r w:rsidR="00AC50D2" w:rsidRPr="00461F9A">
        <w:t xml:space="preserve"> </w:t>
      </w:r>
      <w:proofErr w:type="gramStart"/>
      <w:r w:rsidR="00AC50D2">
        <w:t>2.</w:t>
      </w:r>
      <w:r w:rsidR="00DE5166">
        <w:t>4</w:t>
      </w:r>
      <w:proofErr w:type="gramEnd"/>
      <w:r w:rsidRPr="00461F9A">
        <w:t>). Ayrıca apne fazında oluşan yüzde akım hızı artışı da ek parametre olarak incelenmiştir.</w:t>
      </w:r>
    </w:p>
    <w:p w:rsidR="00FD4BA1" w:rsidRDefault="00FD4BA1">
      <w:pPr>
        <w:rPr>
          <w:rFonts w:ascii="Arial" w:hAnsi="Arial" w:cs="Arial"/>
          <w:sz w:val="24"/>
          <w:szCs w:val="24"/>
        </w:rPr>
      </w:pPr>
      <w:r>
        <w:rPr>
          <w:rFonts w:ascii="Arial" w:hAnsi="Arial" w:cs="Arial"/>
          <w:sz w:val="24"/>
          <w:szCs w:val="24"/>
        </w:rPr>
        <w:br w:type="page"/>
      </w:r>
    </w:p>
    <w:tbl>
      <w:tblPr>
        <w:tblStyle w:val="TabloKlavuzu"/>
        <w:tblW w:w="0" w:type="auto"/>
        <w:tblLook w:val="04A0" w:firstRow="1" w:lastRow="0" w:firstColumn="1" w:lastColumn="0" w:noHBand="0" w:noVBand="1"/>
      </w:tblPr>
      <w:tblGrid>
        <w:gridCol w:w="8210"/>
      </w:tblGrid>
      <w:tr w:rsidR="00E659A9" w:rsidTr="00AC50D2">
        <w:tc>
          <w:tcPr>
            <w:tcW w:w="8210" w:type="dxa"/>
          </w:tcPr>
          <w:p w:rsidR="00E659A9" w:rsidRDefault="00E659A9" w:rsidP="001731FC">
            <w:pPr>
              <w:pStyle w:val="AralkYok"/>
              <w:rPr>
                <w:rFonts w:ascii="Arial" w:hAnsi="Arial" w:cs="Arial"/>
                <w:lang w:val="tr-TR"/>
              </w:rPr>
            </w:pPr>
            <w:r w:rsidRPr="00A93822">
              <w:rPr>
                <w:rFonts w:ascii="Arial" w:hAnsi="Arial" w:cs="Arial"/>
                <w:noProof/>
                <w:lang w:val="tr-TR" w:eastAsia="tr-TR"/>
              </w:rPr>
              <w:lastRenderedPageBreak/>
              <w:drawing>
                <wp:inline distT="0" distB="0" distL="0" distR="0">
                  <wp:extent cx="5735782" cy="3200240"/>
                  <wp:effectExtent l="0" t="0" r="0" b="63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131" cy="3214941"/>
                          </a:xfrm>
                          <a:prstGeom prst="rect">
                            <a:avLst/>
                          </a:prstGeom>
                          <a:noFill/>
                          <a:ln>
                            <a:noFill/>
                          </a:ln>
                        </pic:spPr>
                      </pic:pic>
                    </a:graphicData>
                  </a:graphic>
                </wp:inline>
              </w:drawing>
            </w:r>
          </w:p>
        </w:tc>
      </w:tr>
      <w:tr w:rsidR="00E659A9" w:rsidTr="00AC50D2">
        <w:tc>
          <w:tcPr>
            <w:tcW w:w="8210" w:type="dxa"/>
          </w:tcPr>
          <w:p w:rsidR="00AC50D2" w:rsidRDefault="00AC50D2" w:rsidP="00AC50D2">
            <w:pPr>
              <w:pStyle w:val="Resimler5"/>
              <w:spacing w:after="0"/>
              <w:rPr>
                <w:lang w:val="tr-TR"/>
              </w:rPr>
            </w:pPr>
            <w:bookmarkStart w:id="30" w:name="_Toc492677203"/>
            <w:r>
              <w:t>Resim</w:t>
            </w:r>
            <w:r>
              <w:rPr>
                <w:lang w:val="tr-TR"/>
              </w:rPr>
              <w:t xml:space="preserve"> 2.</w:t>
            </w:r>
            <w:r w:rsidR="00DE5166">
              <w:rPr>
                <w:lang w:val="tr-TR"/>
              </w:rPr>
              <w:t>3</w:t>
            </w:r>
            <w:r>
              <w:rPr>
                <w:lang w:val="tr-TR"/>
              </w:rPr>
              <w:t xml:space="preserve">. </w:t>
            </w:r>
            <w:r w:rsidR="00E659A9" w:rsidRPr="00AC50D2">
              <w:rPr>
                <w:b w:val="0"/>
                <w:lang w:val="tr-TR"/>
              </w:rPr>
              <w:t xml:space="preserve">PCA insonasyonu ile elde </w:t>
            </w:r>
            <w:r w:rsidRPr="00AC50D2">
              <w:rPr>
                <w:b w:val="0"/>
                <w:lang w:val="tr-TR"/>
              </w:rPr>
              <w:t>olunmuş tipik bir kayıt örneği</w:t>
            </w:r>
            <w:bookmarkEnd w:id="30"/>
          </w:p>
          <w:p w:rsidR="00E659A9" w:rsidRDefault="00E659A9">
            <w:pPr>
              <w:pStyle w:val="AralkYok"/>
              <w:rPr>
                <w:rFonts w:ascii="Arial" w:hAnsi="Arial" w:cs="Arial"/>
                <w:lang w:val="tr-TR"/>
              </w:rPr>
            </w:pPr>
            <w:r w:rsidRPr="00461F9A">
              <w:rPr>
                <w:rFonts w:ascii="Arial" w:hAnsi="Arial" w:cs="Arial"/>
                <w:sz w:val="20"/>
                <w:szCs w:val="20"/>
                <w:lang w:val="tr-TR"/>
              </w:rPr>
              <w:t>İki BHT sonrası iki HPV yapılmıştır. Ok ile işaretlenmiş olan spektrumlar deneğe ait olup üst sırada verilmiştir. Okla işaretlenmemiş olan spektrogram örnekleri ise “azalmış” apne yanıtı ve “ekzajere” HPV yanıtı örneğidir. Bu ilki spektrogram ile apnede bariz pulsatilite azalımı ve hiperventilasyonda ise dramatik pulsatilite artışı örneklenmiştir</w:t>
            </w:r>
            <w:r>
              <w:rPr>
                <w:rFonts w:ascii="Arial" w:hAnsi="Arial" w:cs="Arial"/>
                <w:lang w:val="tr-TR"/>
              </w:rPr>
              <w:t>.</w:t>
            </w:r>
          </w:p>
        </w:tc>
      </w:tr>
    </w:tbl>
    <w:p w:rsidR="00E659A9" w:rsidRPr="00461F9A" w:rsidRDefault="00E659A9" w:rsidP="00461F9A">
      <w:pPr>
        <w:rPr>
          <w:rFonts w:ascii="Arial" w:hAnsi="Arial" w:cs="Arial"/>
        </w:rPr>
      </w:pPr>
    </w:p>
    <w:tbl>
      <w:tblPr>
        <w:tblStyle w:val="TabloKlavuzu"/>
        <w:tblW w:w="0" w:type="auto"/>
        <w:tblLook w:val="04A0" w:firstRow="1" w:lastRow="0" w:firstColumn="1" w:lastColumn="0" w:noHBand="0" w:noVBand="1"/>
      </w:tblPr>
      <w:tblGrid>
        <w:gridCol w:w="8210"/>
      </w:tblGrid>
      <w:tr w:rsidR="00E659A9" w:rsidTr="00AC50D2">
        <w:tc>
          <w:tcPr>
            <w:tcW w:w="8210" w:type="dxa"/>
          </w:tcPr>
          <w:p w:rsidR="00E659A9" w:rsidRDefault="00E659A9" w:rsidP="00461F9A">
            <w:pPr>
              <w:pStyle w:val="AralkYok"/>
              <w:jc w:val="center"/>
              <w:rPr>
                <w:rFonts w:ascii="Arial" w:hAnsi="Arial" w:cs="Arial"/>
                <w:lang w:val="tr-TR"/>
              </w:rPr>
            </w:pPr>
            <w:r w:rsidRPr="00A70ED8">
              <w:rPr>
                <w:rFonts w:ascii="Arial" w:hAnsi="Arial" w:cs="Arial"/>
                <w:noProof/>
                <w:lang w:val="tr-TR" w:eastAsia="tr-TR"/>
              </w:rPr>
              <w:drawing>
                <wp:inline distT="0" distB="0" distL="0" distR="0">
                  <wp:extent cx="3659891" cy="3640328"/>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6392" cy="3646794"/>
                          </a:xfrm>
                          <a:prstGeom prst="rect">
                            <a:avLst/>
                          </a:prstGeom>
                          <a:noFill/>
                          <a:ln>
                            <a:noFill/>
                          </a:ln>
                        </pic:spPr>
                      </pic:pic>
                    </a:graphicData>
                  </a:graphic>
                </wp:inline>
              </w:drawing>
            </w:r>
          </w:p>
        </w:tc>
      </w:tr>
    </w:tbl>
    <w:p w:rsidR="00E659A9" w:rsidRDefault="00AC50D2" w:rsidP="00AC50D2">
      <w:pPr>
        <w:pStyle w:val="Resimler5"/>
        <w:jc w:val="center"/>
      </w:pPr>
      <w:bookmarkStart w:id="31" w:name="_Toc492677204"/>
      <w:r>
        <w:t xml:space="preserve">Resim </w:t>
      </w:r>
      <w:proofErr w:type="gramStart"/>
      <w:r>
        <w:t>2.</w:t>
      </w:r>
      <w:r w:rsidR="00DE5166">
        <w:t>4</w:t>
      </w:r>
      <w:proofErr w:type="gramEnd"/>
      <w:r>
        <w:t xml:space="preserve">. </w:t>
      </w:r>
      <w:r w:rsidRPr="00AC50D2">
        <w:rPr>
          <w:b w:val="0"/>
        </w:rPr>
        <w:t>BHT ölçülen parametreler</w:t>
      </w:r>
      <w:bookmarkEnd w:id="31"/>
    </w:p>
    <w:p w:rsidR="00E659A9" w:rsidRDefault="00E659A9" w:rsidP="00461F9A">
      <w:pPr>
        <w:spacing w:line="360" w:lineRule="auto"/>
        <w:ind w:firstLine="720"/>
        <w:jc w:val="both"/>
        <w:rPr>
          <w:rFonts w:ascii="Arial" w:hAnsi="Arial" w:cs="Arial"/>
          <w:sz w:val="24"/>
          <w:szCs w:val="24"/>
        </w:rPr>
      </w:pPr>
      <w:r w:rsidRPr="00461F9A">
        <w:rPr>
          <w:rFonts w:ascii="Arial" w:hAnsi="Arial" w:cs="Arial"/>
          <w:sz w:val="24"/>
          <w:szCs w:val="24"/>
        </w:rPr>
        <w:lastRenderedPageBreak/>
        <w:t>İki BHT tamamlandıktan hemen sonra akım hızı bazal seviyesine dönünce bireyler hızlı ve derin solunum ile 25 saniye hiperventilasyon yapmışlardır. Bu dönemde akım hızı hızla azalır ve pulsatilite artar. Akım hızının en düşük seviyeye inme zamanı “Plat</w:t>
      </w:r>
      <w:r>
        <w:rPr>
          <w:rFonts w:ascii="Arial" w:hAnsi="Arial" w:cs="Arial"/>
          <w:sz w:val="24"/>
          <w:szCs w:val="24"/>
        </w:rPr>
        <w:t>o</w:t>
      </w:r>
      <w:r w:rsidRPr="00461F9A">
        <w:rPr>
          <w:rFonts w:ascii="Arial" w:hAnsi="Arial" w:cs="Arial"/>
          <w:sz w:val="24"/>
          <w:szCs w:val="24"/>
        </w:rPr>
        <w:t xml:space="preserve"> zamanı” olarak ad</w:t>
      </w:r>
      <w:r>
        <w:rPr>
          <w:rFonts w:ascii="Arial" w:hAnsi="Arial" w:cs="Arial"/>
          <w:sz w:val="24"/>
          <w:szCs w:val="24"/>
        </w:rPr>
        <w:t>l</w:t>
      </w:r>
      <w:r w:rsidRPr="00461F9A">
        <w:rPr>
          <w:rFonts w:ascii="Arial" w:hAnsi="Arial" w:cs="Arial"/>
          <w:sz w:val="24"/>
          <w:szCs w:val="24"/>
        </w:rPr>
        <w:t>andırılmıştır. Vazokonstriksiyon kapasitesi ise “(V</w:t>
      </w:r>
      <w:r w:rsidRPr="00461F9A">
        <w:rPr>
          <w:rFonts w:ascii="Arial" w:hAnsi="Arial" w:cs="Arial"/>
          <w:sz w:val="24"/>
          <w:szCs w:val="24"/>
          <w:vertAlign w:val="subscript"/>
        </w:rPr>
        <w:t>mean-bazal</w:t>
      </w:r>
      <w:r w:rsidRPr="00461F9A">
        <w:rPr>
          <w:rFonts w:ascii="Arial" w:hAnsi="Arial" w:cs="Arial"/>
          <w:sz w:val="24"/>
          <w:szCs w:val="24"/>
        </w:rPr>
        <w:t>-V</w:t>
      </w:r>
      <w:r w:rsidRPr="00461F9A">
        <w:rPr>
          <w:rFonts w:ascii="Arial" w:hAnsi="Arial" w:cs="Arial"/>
          <w:sz w:val="24"/>
          <w:szCs w:val="24"/>
          <w:vertAlign w:val="subscript"/>
        </w:rPr>
        <w:t>mean-HPV-plato</w:t>
      </w:r>
      <w:r w:rsidRPr="00461F9A">
        <w:rPr>
          <w:rFonts w:ascii="Arial" w:hAnsi="Arial" w:cs="Arial"/>
          <w:sz w:val="24"/>
          <w:szCs w:val="24"/>
        </w:rPr>
        <w:t>) / V</w:t>
      </w:r>
      <w:r w:rsidRPr="00461F9A">
        <w:rPr>
          <w:rFonts w:ascii="Arial" w:hAnsi="Arial" w:cs="Arial"/>
          <w:sz w:val="24"/>
          <w:szCs w:val="24"/>
          <w:vertAlign w:val="subscript"/>
        </w:rPr>
        <w:t>mean-bazal</w:t>
      </w:r>
      <w:r w:rsidRPr="00461F9A">
        <w:rPr>
          <w:rFonts w:ascii="Arial" w:hAnsi="Arial" w:cs="Arial"/>
          <w:sz w:val="24"/>
          <w:szCs w:val="24"/>
        </w:rPr>
        <w:t>*100” formülü ile hesaplanmıştır.</w:t>
      </w:r>
    </w:p>
    <w:p w:rsidR="00CD09BF" w:rsidRPr="00461F9A" w:rsidRDefault="00CD09BF" w:rsidP="00CD09BF">
      <w:pPr>
        <w:pStyle w:val="METN"/>
      </w:pPr>
    </w:p>
    <w:tbl>
      <w:tblPr>
        <w:tblStyle w:val="TabloKlavuzu"/>
        <w:tblW w:w="0" w:type="auto"/>
        <w:tblLook w:val="04A0" w:firstRow="1" w:lastRow="0" w:firstColumn="1" w:lastColumn="0" w:noHBand="0" w:noVBand="1"/>
      </w:tblPr>
      <w:tblGrid>
        <w:gridCol w:w="8210"/>
      </w:tblGrid>
      <w:tr w:rsidR="00E659A9" w:rsidTr="00CD09BF">
        <w:tc>
          <w:tcPr>
            <w:tcW w:w="8210" w:type="dxa"/>
          </w:tcPr>
          <w:p w:rsidR="00E659A9" w:rsidRDefault="00E659A9" w:rsidP="00FD4BA1">
            <w:pPr>
              <w:pStyle w:val="AralkYok"/>
              <w:jc w:val="center"/>
              <w:rPr>
                <w:rFonts w:ascii="Arial" w:hAnsi="Arial" w:cs="Arial"/>
                <w:lang w:val="tr-TR"/>
              </w:rPr>
            </w:pPr>
            <w:r w:rsidRPr="00D13BE6">
              <w:rPr>
                <w:rFonts w:ascii="Arial" w:hAnsi="Arial" w:cs="Arial"/>
                <w:noProof/>
                <w:lang w:val="tr-TR" w:eastAsia="tr-TR"/>
              </w:rPr>
              <w:drawing>
                <wp:inline distT="0" distB="0" distL="0" distR="0">
                  <wp:extent cx="4156364" cy="2876241"/>
                  <wp:effectExtent l="0" t="0" r="0" b="63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r="1051"/>
                          <a:stretch/>
                        </pic:blipFill>
                        <pic:spPr bwMode="auto">
                          <a:xfrm>
                            <a:off x="0" y="0"/>
                            <a:ext cx="4159080" cy="28781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D09BF" w:rsidRDefault="00CD09BF" w:rsidP="00CD09BF">
      <w:pPr>
        <w:pStyle w:val="Resimler5"/>
        <w:jc w:val="center"/>
      </w:pPr>
      <w:bookmarkStart w:id="32" w:name="_Toc492677205"/>
      <w:r>
        <w:t>Resim</w:t>
      </w:r>
      <w:r w:rsidRPr="00461F9A">
        <w:t xml:space="preserve"> </w:t>
      </w:r>
      <w:proofErr w:type="gramStart"/>
      <w:r>
        <w:t>2.</w:t>
      </w:r>
      <w:r w:rsidR="00DE5166">
        <w:t>5</w:t>
      </w:r>
      <w:proofErr w:type="gramEnd"/>
      <w:r>
        <w:t xml:space="preserve">. </w:t>
      </w:r>
      <w:r w:rsidRPr="00CD09BF">
        <w:rPr>
          <w:b w:val="0"/>
        </w:rPr>
        <w:t>Hiperventilasyon reaksiyonu ve ölçülen parametreler</w:t>
      </w:r>
      <w:bookmarkEnd w:id="32"/>
    </w:p>
    <w:p w:rsidR="00E659A9" w:rsidRPr="00B6189D" w:rsidRDefault="00AC50D2" w:rsidP="00AC50D2">
      <w:pPr>
        <w:pStyle w:val="Balk3"/>
      </w:pPr>
      <w:bookmarkStart w:id="33" w:name="_Toc492677345"/>
      <w:r>
        <w:t xml:space="preserve">2.1.6. </w:t>
      </w:r>
      <w:r w:rsidR="00E659A9" w:rsidRPr="00B6189D">
        <w:t xml:space="preserve">VMR ölçüm </w:t>
      </w:r>
      <w:proofErr w:type="gramStart"/>
      <w:r w:rsidR="00E659A9" w:rsidRPr="00B6189D">
        <w:t>prosedürü</w:t>
      </w:r>
      <w:bookmarkEnd w:id="33"/>
      <w:proofErr w:type="gramEnd"/>
    </w:p>
    <w:p w:rsidR="00E659A9" w:rsidRPr="00461F9A" w:rsidRDefault="00E659A9" w:rsidP="00CD09BF">
      <w:pPr>
        <w:pStyle w:val="METN"/>
      </w:pPr>
      <w:r w:rsidRPr="00461F9A">
        <w:t>Önce her iki PCA’nın TCD monitörizasyonu yapılmış ve takiben iki kez BHT ve ardından iki kez HPV yapılmıştır. Her test öncesi bazal akım hızı seviyesine inme ve stabilizasyon beklenmiştir. Daha sonra aynı işlem MCA için tekrarlanmıştır. Bu kayıtlamalar tamamlandıktan sonra MCA monitörizasyonu devam ederken Valsalvalı “Bubble test” yapılmıştır. Ardından MCA için Bubble test sonrası BHT ve HPV iki kez olarak tekrar edilmiş ve takiben PCA’ya geçilerek yine iki kez BHT ve HPV yapılarak prosedür tamamlanmıştır. Testten sonra baş ağrısı gelişip gelişmediği hastaya daha sonra telefon edilerek belirlenmiştir.</w:t>
      </w:r>
    </w:p>
    <w:p w:rsidR="00E659A9" w:rsidRPr="00B6189D" w:rsidRDefault="00AC50D2" w:rsidP="00AC50D2">
      <w:pPr>
        <w:pStyle w:val="Balk2"/>
      </w:pPr>
      <w:bookmarkStart w:id="34" w:name="_Toc492677346"/>
      <w:r>
        <w:lastRenderedPageBreak/>
        <w:t>2.2</w:t>
      </w:r>
      <w:r w:rsidR="00E659A9" w:rsidRPr="00B6189D">
        <w:t>.</w:t>
      </w:r>
      <w:r>
        <w:t xml:space="preserve"> </w:t>
      </w:r>
      <w:r w:rsidR="00E659A9" w:rsidRPr="00B6189D">
        <w:t>İstatistik</w:t>
      </w:r>
      <w:bookmarkEnd w:id="34"/>
    </w:p>
    <w:p w:rsidR="00E659A9" w:rsidRDefault="00E659A9" w:rsidP="00461F9A">
      <w:pPr>
        <w:spacing w:line="360" w:lineRule="auto"/>
        <w:ind w:firstLine="567"/>
        <w:jc w:val="both"/>
        <w:rPr>
          <w:rFonts w:ascii="Arial" w:hAnsi="Arial" w:cs="Arial"/>
          <w:sz w:val="24"/>
          <w:szCs w:val="24"/>
        </w:rPr>
      </w:pPr>
      <w:r w:rsidRPr="00461F9A">
        <w:rPr>
          <w:rFonts w:ascii="Arial" w:hAnsi="Arial" w:cs="Arial"/>
          <w:sz w:val="24"/>
          <w:szCs w:val="24"/>
        </w:rPr>
        <w:t xml:space="preserve">Tüm </w:t>
      </w:r>
      <w:r w:rsidRPr="00B6189D">
        <w:rPr>
          <w:rFonts w:ascii="Arial" w:hAnsi="Arial" w:cs="Arial"/>
          <w:sz w:val="24"/>
          <w:szCs w:val="24"/>
        </w:rPr>
        <w:t xml:space="preserve">nümerik </w:t>
      </w:r>
      <w:r w:rsidRPr="00461F9A">
        <w:rPr>
          <w:rFonts w:ascii="Arial" w:hAnsi="Arial" w:cs="Arial"/>
          <w:sz w:val="24"/>
          <w:szCs w:val="24"/>
        </w:rPr>
        <w:t>değerler “ortalama</w:t>
      </w:r>
      <w:r>
        <w:rPr>
          <w:rFonts w:ascii="Arial" w:hAnsi="Arial" w:cs="Arial"/>
          <w:sz w:val="24"/>
          <w:szCs w:val="24"/>
        </w:rPr>
        <w:t xml:space="preserve"> </w:t>
      </w:r>
      <w:r w:rsidRPr="00461F9A">
        <w:rPr>
          <w:rFonts w:ascii="Arial" w:hAnsi="Arial" w:cs="Arial"/>
          <w:sz w:val="24"/>
          <w:szCs w:val="24"/>
        </w:rPr>
        <w:t>+</w:t>
      </w:r>
      <w:r>
        <w:rPr>
          <w:rFonts w:ascii="Arial" w:hAnsi="Arial" w:cs="Arial"/>
          <w:sz w:val="24"/>
          <w:szCs w:val="24"/>
        </w:rPr>
        <w:t xml:space="preserve"> </w:t>
      </w:r>
      <w:r w:rsidRPr="00461F9A">
        <w:rPr>
          <w:rFonts w:ascii="Arial" w:hAnsi="Arial" w:cs="Arial"/>
          <w:sz w:val="24"/>
          <w:szCs w:val="24"/>
        </w:rPr>
        <w:t xml:space="preserve">standart sapma” olarak verilmiştir. </w:t>
      </w:r>
      <w:r w:rsidRPr="00B6189D">
        <w:rPr>
          <w:rFonts w:ascii="Arial" w:hAnsi="Arial" w:cs="Arial"/>
          <w:sz w:val="24"/>
          <w:szCs w:val="24"/>
        </w:rPr>
        <w:t>Bazal ve Bubble test sonrası “bireysel değer” iki tekrardaki sağ ve sol taraf (yani 4 değer) için ölçülen değerlerin ortalamasıdır. Bu değerlerin karşılaştırılmasında Student t, Mann-Whitney U, tek yönlü veya çift yönlü varyans analizi (ANOVA) kullanılmıştır. Aynı bireyin Bubble test öncesi ve sonrası değerlerinin karşılaştırılması için bağımlı örneklerde t-testi” veya Wilcoxon T kullanılmıştır. Kategorik değerler için ki-kare veya exact test</w:t>
      </w:r>
      <w:r>
        <w:rPr>
          <w:rFonts w:ascii="Arial" w:hAnsi="Arial" w:cs="Arial"/>
          <w:sz w:val="24"/>
          <w:szCs w:val="24"/>
        </w:rPr>
        <w:t>e baş</w:t>
      </w:r>
      <w:r w:rsidRPr="00B6189D">
        <w:rPr>
          <w:rFonts w:ascii="Arial" w:hAnsi="Arial" w:cs="Arial"/>
          <w:sz w:val="24"/>
          <w:szCs w:val="24"/>
        </w:rPr>
        <w:t>vurulmuştur. İşlemler SPSS versiyon 22 ile yapılmış ve p&lt;0,05 istatistiksel anlamlılık için kesim değe</w:t>
      </w:r>
      <w:r w:rsidRPr="00DA12C0">
        <w:rPr>
          <w:rFonts w:ascii="Arial" w:hAnsi="Arial" w:cs="Arial"/>
          <w:sz w:val="24"/>
          <w:szCs w:val="24"/>
        </w:rPr>
        <w:t>ri olarak kabul edilmiştir.</w:t>
      </w:r>
    </w:p>
    <w:p w:rsidR="00E659A9" w:rsidRDefault="00E659A9">
      <w:pPr>
        <w:rPr>
          <w:rFonts w:ascii="Arial" w:hAnsi="Arial" w:cs="Arial"/>
          <w:sz w:val="24"/>
          <w:szCs w:val="24"/>
        </w:rPr>
      </w:pPr>
      <w:r>
        <w:rPr>
          <w:rFonts w:ascii="Arial" w:hAnsi="Arial" w:cs="Arial"/>
          <w:sz w:val="24"/>
          <w:szCs w:val="24"/>
        </w:rPr>
        <w:br w:type="page"/>
      </w:r>
    </w:p>
    <w:p w:rsidR="00E659A9" w:rsidRPr="00461F9A" w:rsidRDefault="00CD09BF" w:rsidP="00CD09BF">
      <w:pPr>
        <w:pStyle w:val="Balk1"/>
        <w:jc w:val="left"/>
      </w:pPr>
      <w:bookmarkStart w:id="35" w:name="_Toc492677347"/>
      <w:r>
        <w:lastRenderedPageBreak/>
        <w:t xml:space="preserve">3. </w:t>
      </w:r>
      <w:r w:rsidR="00E659A9" w:rsidRPr="00461F9A">
        <w:t>S</w:t>
      </w:r>
      <w:r w:rsidR="00DF11CD" w:rsidRPr="00461F9A">
        <w:t>ONUÇLAR</w:t>
      </w:r>
      <w:bookmarkEnd w:id="35"/>
    </w:p>
    <w:p w:rsidR="00E659A9" w:rsidRPr="00461F9A" w:rsidRDefault="00CD09BF" w:rsidP="00CD09BF">
      <w:pPr>
        <w:pStyle w:val="Balk2"/>
      </w:pPr>
      <w:bookmarkStart w:id="36" w:name="_Toc492677348"/>
      <w:r>
        <w:t xml:space="preserve">3.1. </w:t>
      </w:r>
      <w:r w:rsidR="00E659A9" w:rsidRPr="00461F9A">
        <w:t>Tanımlayıcı özellikler</w:t>
      </w:r>
      <w:bookmarkEnd w:id="36"/>
    </w:p>
    <w:p w:rsidR="00E659A9" w:rsidRPr="00461F9A" w:rsidRDefault="00E659A9" w:rsidP="00C416C3">
      <w:pPr>
        <w:pStyle w:val="METN"/>
      </w:pPr>
      <w:r w:rsidRPr="00461F9A">
        <w:t xml:space="preserve">Çalışmaya 56 birey </w:t>
      </w:r>
      <w:proofErr w:type="gramStart"/>
      <w:r w:rsidRPr="00461F9A">
        <w:t>dahil</w:t>
      </w:r>
      <w:proofErr w:type="gramEnd"/>
      <w:r w:rsidRPr="00461F9A">
        <w:t xml:space="preserve"> edilmiştir. Ortalama yaşı 36±12 (</w:t>
      </w:r>
      <w:r>
        <w:t xml:space="preserve">değer </w:t>
      </w:r>
      <w:r w:rsidRPr="00461F9A">
        <w:t>aralı</w:t>
      </w:r>
      <w:r>
        <w:t>ğı</w:t>
      </w:r>
      <w:r w:rsidRPr="00461F9A">
        <w:t xml:space="preserve">: 18-69) olan popülasyon 34 (%61) kadın içermekte olup sağ el dominansı 51 (%91) ve sağ göz dominansı 44 (%79) olguda tespit edilmiştir. Ortalama boy 168±8 cm, vücut ağırlığı 73±16 kg, VKI 25,8±4,5 ve hematokrit 41±5’dir. </w:t>
      </w:r>
    </w:p>
    <w:p w:rsidR="00E659A9" w:rsidRPr="00461F9A" w:rsidRDefault="00E659A9" w:rsidP="00C416C3">
      <w:pPr>
        <w:pStyle w:val="METN"/>
      </w:pPr>
      <w:r w:rsidRPr="00461F9A">
        <w:t>Migren öyküsü olan kişi sayısı 38’dir. Yarısında (n=19) migren auralı tiptir. Migren olan olguların boy (166±8 vs. 171±9, p=0,105), kilo (72±15 vs. 76±17, p=0,328), VK</w:t>
      </w:r>
      <w:r>
        <w:t>İ</w:t>
      </w:r>
      <w:r w:rsidRPr="00461F9A">
        <w:t xml:space="preserve"> (25,7±4,6 vs. 26,1±4,4, p=0,810) ve hematokrit (40±4 vs. 41±6, p=0,522) ortalamaları migreni olmayanlardan farklı değildir. Migren grubunda kadın oranı anlamlı olarak yüksektir (% Kadın: 74 vs. 33, p=0,004). El (%sağ: 92 vs. 89, p=0,693) ve göz (%sağ: 84 vs. 69, p=0,135) tercihi migreni olan ve olmayanlarda farksızdır.</w:t>
      </w:r>
    </w:p>
    <w:p w:rsidR="00E659A9" w:rsidRPr="00461F9A" w:rsidRDefault="00E659A9" w:rsidP="00C416C3">
      <w:pPr>
        <w:pStyle w:val="METN"/>
      </w:pPr>
      <w:r w:rsidRPr="00461F9A">
        <w:t xml:space="preserve">Auralı ve aurasız migren olgularında boy (167±9 vs. 165±8, p=0,452), kilo (74±17 vs. 69±8, p=0,367), VKI (26,2±5 vs. 25,3±4,2, p=0,550) ve hematokrit (39±4 vs. 42±4, p=0,185) farkı saptanmamıştır. Kadın oranı açısından auralı ve aurasız migren arasında fark yoktur. (%kadın: 84 vs. 63, p=0,141). El (%sağ: 95 vs 90, p=0,547) ve göz (%sağ: her ikisi de 85, p=1,0) dominansı migreni olan olgularda aura öyküsü olup olmamasına göre değişmemiştir. </w:t>
      </w:r>
    </w:p>
    <w:p w:rsidR="00E659A9" w:rsidRPr="00461F9A" w:rsidRDefault="00E659A9" w:rsidP="00C416C3">
      <w:pPr>
        <w:pStyle w:val="METN"/>
      </w:pPr>
      <w:r w:rsidRPr="00461F9A">
        <w:t xml:space="preserve">Migren 3 (5,4%) olguda daima sol, 1 olguda (1,8%) daima sağ, 8 (14,3%) olguda ağırlıklı olarak sol, 9 (16,1%) olguda ağırlıklı olarak sağ yerleşimli iken 17 (30,4%) olguda bilateral yan taraf tercihi göstermeyen özelliktedir. Auralı migren olgularında bilateral veya taraf değiştiren ağrı oranı daha fazla (%58’e %32) olmakla beraber istatistiksel anlamlılık düzeyine erişmemiştir. Auralı migrende ağrı lateralizasyonu %0 sol, %5 sağ, %21 ağırlıklı sol, %16 ağırlıklı sağ ve %58 bilateral iken aurasız migrende %16 sol %0 sağ, %21 ağırlıklı sol, %32 ağırlıklı sağ ve %32 bilateraldir (p=0,167). </w:t>
      </w:r>
    </w:p>
    <w:p w:rsidR="00E659A9" w:rsidRPr="00461F9A" w:rsidRDefault="00E659A9" w:rsidP="00C416C3">
      <w:pPr>
        <w:pStyle w:val="METN"/>
      </w:pPr>
      <w:r w:rsidRPr="00461F9A">
        <w:t xml:space="preserve">Migren nedenli disabilite çoğu hastada önemli derecededir. MIDAS skoru 1, 2, 3 ve 4 olan olgu sayıları sırasıyla 7, 7, 7 ve 17 (%45)’dir. Auralı ve aurasız migren’de MIDAS kategorilerinin dağılımı açısından fark </w:t>
      </w:r>
      <w:r w:rsidRPr="00461F9A">
        <w:lastRenderedPageBreak/>
        <w:t xml:space="preserve">saptanmamıştır: Auralı ve aurasız migrende MIDAS-1 %26 vs. 11; MIDAS-2 %21 vs. %16; MIDAS-3 %11 vs. %26 ve MIDAS-4 %42 vs. %47’dir (p=0,428). Tüm </w:t>
      </w:r>
      <w:proofErr w:type="gramStart"/>
      <w:r w:rsidRPr="00461F9A">
        <w:t>popülasyonda</w:t>
      </w:r>
      <w:proofErr w:type="gramEnd"/>
      <w:r w:rsidRPr="00461F9A">
        <w:t xml:space="preserve"> migren ortalama MIDAS puanı 32±35, MTAQ puanı 3,8±2,3 ve HIT-6 soru puanı 60,7±8,7’dir. Auralı ve aurasız migrende ortalama MIDAS (26±29 vs. 37±41, p=0,323), MTAQ (3,7±2,4 vs. 3,9±2,2, p=0,728) ve HIT-6 skoru (58,9±10 vs. 62,4±7, p=0,219) benzer derecededir. Tüm </w:t>
      </w:r>
      <w:proofErr w:type="gramStart"/>
      <w:r w:rsidRPr="00461F9A">
        <w:t>popülasyonda</w:t>
      </w:r>
      <w:proofErr w:type="gramEnd"/>
      <w:r w:rsidRPr="00461F9A">
        <w:t xml:space="preserve"> migren ortalama tanı yaşı 25±10 ve süresi 10±7 yıldır. Tanı yaşı (25±13 vs. 25±8, p=0,870) ve migren süresi (9,3±8 vs. 10,3±6,2, p=0,654) auralı ve aurasız olgularda fark göstermemiştir. </w:t>
      </w:r>
    </w:p>
    <w:p w:rsidR="00E659A9" w:rsidRPr="00461F9A" w:rsidRDefault="00E659A9" w:rsidP="00C416C3">
      <w:pPr>
        <w:pStyle w:val="METN"/>
      </w:pPr>
      <w:r w:rsidRPr="00461F9A">
        <w:t>Toplam 26 olguda yüksek debili RLS olan PFO mevcutur. PFO olan olguların boy (167±10 vs. 168±8, p=0,753), kilo (73±14 vs. 72±17, p=0,728), VKI (26,3±4 vs. 25,4±4,8, p=0,451) ve hematokrit (40±3 vs. 42±6, p=0,201) ortalamaları migreni olmayanlardan farklı değildir. Cinsiyet dağılımı (% Kadın: 65 vs. 57, p=0,505), el (% sağ: 89 vs. 93, p=0,524) ve göz (%sağ: 77 vs. 80, p=0,780) tercihi PFO olan ve olmayanlarda farksızdır. PFO olan olguların ortalama yaşı 43±13 olup PFO saptanmayan olgulardan (31±9) yüksektir (p=0,001).</w:t>
      </w:r>
    </w:p>
    <w:p w:rsidR="00E659A9" w:rsidRDefault="00E659A9" w:rsidP="00C416C3">
      <w:pPr>
        <w:pStyle w:val="METN"/>
      </w:pPr>
      <w:proofErr w:type="gramStart"/>
      <w:r w:rsidRPr="00461F9A">
        <w:t xml:space="preserve">Bireyler 6 gruba ayrılmıştır: Grup-1 (normal kontrol) Aura, miren ve PFO’su olmayan 10 kişi; Grup-2 (PFO kontrol) Aura ve migren olmayan ama PFO bulunan 8 kişi; Grup-3 (migren grubu) aura ve PFO olmayan migrenli 10 kişi; Grup-4 (PFO’lu aurasız migren grubu) Aura olmayan ancak PFO’su olan migrenli 9 kişi; Grup-5 (Auralı migren grubu) PFO olmayan auralı migreni olan 10 kişi ve Grup-6 (Auralı ve PFO’lu migren) PFO’su olan Auralı migreni de olan 10 kişi. </w:t>
      </w:r>
      <w:proofErr w:type="gramEnd"/>
      <w:r w:rsidRPr="00461F9A">
        <w:t>Bu gruplara göre temel tanımlayıcı özellikler tablo-1’de özetlenmiştir.</w:t>
      </w:r>
      <w:r>
        <w:t xml:space="preserve"> </w:t>
      </w:r>
      <w:r w:rsidRPr="00461F9A">
        <w:t>Grup 2 ve 4’ün ortalama yaşları diğer gruplardan yüksek (F=5,831) iken gruplar arasında VKİ (p=0,675), hematokrit (p=0,401), el tercihi (p=0,553) ve göz dominansı (p=0,696) açısından fark saptanmamıştır. Grup-1’de erkek</w:t>
      </w:r>
      <w:r>
        <w:t xml:space="preserve"> </w:t>
      </w:r>
      <w:r w:rsidRPr="00461F9A">
        <w:t>(%90) ve grup-5’de kadın (%100) dominansı vardır (p=0,004). Migrenli gruplarda (Grup</w:t>
      </w:r>
      <w:r>
        <w:t xml:space="preserve"> </w:t>
      </w:r>
      <w:r w:rsidRPr="00461F9A">
        <w:t xml:space="preserve">3-6) </w:t>
      </w:r>
      <w:r>
        <w:t>a</w:t>
      </w:r>
      <w:r w:rsidRPr="00461F9A">
        <w:t xml:space="preserve">tak tarafı (p=0,301), </w:t>
      </w:r>
      <w:r>
        <w:t>t</w:t>
      </w:r>
      <w:r w:rsidRPr="00461F9A">
        <w:t xml:space="preserve">anı yaşı (p=0,360), </w:t>
      </w:r>
      <w:r>
        <w:t>a</w:t>
      </w:r>
      <w:r w:rsidRPr="00461F9A">
        <w:t xml:space="preserve">ğrı süresi (p=0,858), MIDAS kategorisi (p=0,472) ve puanı (p=0,783), </w:t>
      </w:r>
      <w:r>
        <w:t>il</w:t>
      </w:r>
      <w:r w:rsidRPr="00461F9A">
        <w:t xml:space="preserve">e MTAQ (p=0,268) açısından fark saptanmamıştır. HIT-6 puanı ise grup-6’da diğerlerine göre daha düşüktür (F=2,99, p=0,045). 30 hastada çeşitli amaçlarla </w:t>
      </w:r>
      <w:r w:rsidRPr="00461F9A">
        <w:lastRenderedPageBreak/>
        <w:t xml:space="preserve">çekilmiş MRG mevcut olup lezyon açısından tarafımızdan değerlendirilmiştir. </w:t>
      </w:r>
      <w:r>
        <w:t>Bu</w:t>
      </w:r>
      <w:r w:rsidRPr="00461F9A">
        <w:t>nların %50’sinde iskemik gliotik lezyon vardır. MRG olması (p=0,082) ve lezyon bul</w:t>
      </w:r>
      <w:r>
        <w:t>u</w:t>
      </w:r>
      <w:r w:rsidRPr="00461F9A">
        <w:t xml:space="preserve">nması (p=0,079) </w:t>
      </w:r>
      <w:r>
        <w:t xml:space="preserve">açısından </w:t>
      </w:r>
      <w:r w:rsidRPr="00461F9A">
        <w:t>gruplar boyutunda fark saptanmamıştır.</w:t>
      </w:r>
    </w:p>
    <w:p w:rsidR="00E659A9" w:rsidRDefault="00E659A9" w:rsidP="00C416C3">
      <w:pPr>
        <w:pStyle w:val="Tablolar6"/>
      </w:pPr>
      <w:bookmarkStart w:id="37" w:name="_Toc492677366"/>
      <w:r w:rsidRPr="00461F9A">
        <w:t>Tablo-</w:t>
      </w:r>
      <w:proofErr w:type="gramStart"/>
      <w:r w:rsidR="00C416C3">
        <w:t>3.</w:t>
      </w:r>
      <w:r w:rsidRPr="00461F9A">
        <w:t>1</w:t>
      </w:r>
      <w:proofErr w:type="gramEnd"/>
      <w:r w:rsidR="00C416C3">
        <w:t>.</w:t>
      </w:r>
      <w:r>
        <w:t xml:space="preserve"> </w:t>
      </w:r>
      <w:r w:rsidRPr="00C416C3">
        <w:rPr>
          <w:b w:val="0"/>
        </w:rPr>
        <w:t>Grupların tanımlayıcı özellikleri</w:t>
      </w:r>
      <w:bookmarkEnd w:id="37"/>
    </w:p>
    <w:tbl>
      <w:tblPr>
        <w:tblStyle w:val="TabloKlavuzu"/>
        <w:tblW w:w="8108" w:type="dxa"/>
        <w:tblInd w:w="-5" w:type="dxa"/>
        <w:tblLayout w:type="fixed"/>
        <w:tblLook w:val="04A0" w:firstRow="1" w:lastRow="0" w:firstColumn="1" w:lastColumn="0" w:noHBand="0" w:noVBand="1"/>
      </w:tblPr>
      <w:tblGrid>
        <w:gridCol w:w="2268"/>
        <w:gridCol w:w="850"/>
        <w:gridCol w:w="964"/>
        <w:gridCol w:w="907"/>
        <w:gridCol w:w="964"/>
        <w:gridCol w:w="964"/>
        <w:gridCol w:w="1191"/>
      </w:tblGrid>
      <w:tr w:rsidR="00E659A9" w:rsidRPr="00E95C1F" w:rsidTr="00C416C3">
        <w:trPr>
          <w:trHeight w:val="283"/>
        </w:trPr>
        <w:tc>
          <w:tcPr>
            <w:tcW w:w="2268" w:type="dxa"/>
            <w:shd w:val="clear" w:color="auto" w:fill="E7E6E6" w:themeFill="background2"/>
            <w:vAlign w:val="center"/>
          </w:tcPr>
          <w:p w:rsidR="00E659A9" w:rsidRPr="00C416C3" w:rsidRDefault="00E659A9" w:rsidP="00C416C3">
            <w:pPr>
              <w:rPr>
                <w:rFonts w:ascii="Arial" w:hAnsi="Arial" w:cs="Arial"/>
                <w:b/>
                <w:sz w:val="18"/>
                <w:szCs w:val="18"/>
              </w:rPr>
            </w:pPr>
            <w:r w:rsidRPr="00C416C3">
              <w:rPr>
                <w:rFonts w:ascii="Arial" w:hAnsi="Arial" w:cs="Arial"/>
                <w:b/>
                <w:sz w:val="18"/>
                <w:szCs w:val="18"/>
              </w:rPr>
              <w:t>Grup</w:t>
            </w:r>
          </w:p>
        </w:tc>
        <w:tc>
          <w:tcPr>
            <w:tcW w:w="850"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2</w:t>
            </w:r>
          </w:p>
        </w:tc>
        <w:tc>
          <w:tcPr>
            <w:tcW w:w="907"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3</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4</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5</w:t>
            </w:r>
          </w:p>
        </w:tc>
        <w:tc>
          <w:tcPr>
            <w:tcW w:w="1191"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6</w:t>
            </w:r>
          </w:p>
        </w:tc>
      </w:tr>
      <w:tr w:rsidR="00E659A9" w:rsidRPr="00E95C1F" w:rsidTr="00C416C3">
        <w:trPr>
          <w:trHeight w:val="283"/>
        </w:trPr>
        <w:tc>
          <w:tcPr>
            <w:tcW w:w="2268" w:type="dxa"/>
            <w:shd w:val="clear" w:color="auto" w:fill="E7E6E6" w:themeFill="background2"/>
            <w:vAlign w:val="center"/>
          </w:tcPr>
          <w:p w:rsidR="00E659A9" w:rsidRPr="00C416C3" w:rsidRDefault="00E659A9" w:rsidP="00C416C3">
            <w:pPr>
              <w:rPr>
                <w:rFonts w:ascii="Arial" w:hAnsi="Arial" w:cs="Arial"/>
                <w:b/>
                <w:sz w:val="18"/>
                <w:szCs w:val="18"/>
              </w:rPr>
            </w:pPr>
            <w:r w:rsidRPr="00C416C3">
              <w:rPr>
                <w:rFonts w:ascii="Arial" w:hAnsi="Arial" w:cs="Arial"/>
                <w:b/>
                <w:sz w:val="18"/>
                <w:szCs w:val="18"/>
              </w:rPr>
              <w:t>Migren</w:t>
            </w:r>
          </w:p>
        </w:tc>
        <w:tc>
          <w:tcPr>
            <w:tcW w:w="850"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07"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964"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964"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1191"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r>
      <w:tr w:rsidR="00E659A9" w:rsidRPr="00E95C1F" w:rsidTr="00C416C3">
        <w:trPr>
          <w:trHeight w:val="283"/>
        </w:trPr>
        <w:tc>
          <w:tcPr>
            <w:tcW w:w="2268" w:type="dxa"/>
            <w:shd w:val="clear" w:color="auto" w:fill="E7E6E6" w:themeFill="background2"/>
            <w:vAlign w:val="center"/>
          </w:tcPr>
          <w:p w:rsidR="00E659A9" w:rsidRPr="00C416C3" w:rsidRDefault="00E659A9" w:rsidP="00C416C3">
            <w:pPr>
              <w:rPr>
                <w:rFonts w:ascii="Arial" w:hAnsi="Arial" w:cs="Arial"/>
                <w:b/>
                <w:sz w:val="18"/>
                <w:szCs w:val="18"/>
              </w:rPr>
            </w:pPr>
            <w:r w:rsidRPr="00C416C3">
              <w:rPr>
                <w:rFonts w:ascii="Arial" w:hAnsi="Arial" w:cs="Arial"/>
                <w:b/>
                <w:sz w:val="18"/>
                <w:szCs w:val="18"/>
              </w:rPr>
              <w:t>Aura</w:t>
            </w:r>
          </w:p>
        </w:tc>
        <w:tc>
          <w:tcPr>
            <w:tcW w:w="850"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07"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1191"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r>
      <w:tr w:rsidR="00E659A9" w:rsidRPr="00E95C1F" w:rsidTr="00C416C3">
        <w:trPr>
          <w:trHeight w:val="283"/>
        </w:trPr>
        <w:tc>
          <w:tcPr>
            <w:tcW w:w="2268" w:type="dxa"/>
            <w:shd w:val="clear" w:color="auto" w:fill="E7E6E6" w:themeFill="background2"/>
            <w:vAlign w:val="center"/>
          </w:tcPr>
          <w:p w:rsidR="00E659A9" w:rsidRPr="00C416C3" w:rsidRDefault="00E659A9" w:rsidP="00C416C3">
            <w:pPr>
              <w:rPr>
                <w:rFonts w:ascii="Arial" w:hAnsi="Arial" w:cs="Arial"/>
                <w:b/>
                <w:sz w:val="18"/>
                <w:szCs w:val="18"/>
              </w:rPr>
            </w:pPr>
            <w:r w:rsidRPr="00C416C3">
              <w:rPr>
                <w:rFonts w:ascii="Arial" w:hAnsi="Arial" w:cs="Arial"/>
                <w:b/>
                <w:sz w:val="18"/>
                <w:szCs w:val="18"/>
              </w:rPr>
              <w:t>PFO</w:t>
            </w:r>
          </w:p>
        </w:tc>
        <w:tc>
          <w:tcPr>
            <w:tcW w:w="850"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907"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964"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c>
          <w:tcPr>
            <w:tcW w:w="964" w:type="dxa"/>
            <w:shd w:val="clear" w:color="auto" w:fill="E7E6E6" w:themeFill="background2"/>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0</w:t>
            </w:r>
          </w:p>
        </w:tc>
        <w:tc>
          <w:tcPr>
            <w:tcW w:w="1191" w:type="dxa"/>
            <w:shd w:val="clear" w:color="auto" w:fill="BFBFBF" w:themeFill="background1" w:themeFillShade="BF"/>
            <w:vAlign w:val="center"/>
          </w:tcPr>
          <w:p w:rsidR="00E659A9" w:rsidRPr="00C416C3" w:rsidRDefault="00E659A9" w:rsidP="00C416C3">
            <w:pPr>
              <w:jc w:val="center"/>
              <w:rPr>
                <w:rFonts w:ascii="Arial" w:hAnsi="Arial" w:cs="Arial"/>
                <w:b/>
                <w:sz w:val="18"/>
                <w:szCs w:val="18"/>
              </w:rPr>
            </w:pPr>
            <w:r w:rsidRPr="00C416C3">
              <w:rPr>
                <w:rFonts w:ascii="Arial" w:hAnsi="Arial" w:cs="Arial"/>
                <w:b/>
                <w:sz w:val="18"/>
                <w:szCs w:val="18"/>
              </w:rPr>
              <w:t>1</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N</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8</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Yaş</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29±7</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52±16*</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31±6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41±8*</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32±12</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36±10</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Erkek/kadın</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9/1</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3/5</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0/10</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3/6</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VKİ</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25±5</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27±3</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26±5</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25±3</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25±5</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28±5</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Hematokrit</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43±8</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40±3</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44±4</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39±3</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39±4</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39±4</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El tercihi (sağ/sol)</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9/1</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7/1</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7/2</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9/1</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9/0</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Göz tercihi (sağ/sol)</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7/3</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5/3</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9/1</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7/2</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8/2</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8/1</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Atak taraf (sağ/sol/yok)</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3/3/4</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3/4/2</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1/1/8</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3/2/4</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Migren tanı yaşı</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21±8</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30±4</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24±11</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26±15</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Migren süresi</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11±6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8±9</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10±8</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MIDAS puan</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38±44</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36±39</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28±28</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23±32</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MIDAS 1/2/3/4</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1/2/1/6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1/1/4/3</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3/1/1/5</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2/3/1/3</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MTAQ</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3,6±1,8</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4,3±2,7</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4,6±2,5</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2,7±2,0</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HIT-6</w:t>
            </w:r>
          </w:p>
        </w:tc>
        <w:tc>
          <w:tcPr>
            <w:tcW w:w="850"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64" w:type="dxa"/>
            <w:shd w:val="clear" w:color="auto" w:fill="E7E6E6" w:themeFill="background2"/>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60±6</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65±7</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63±9</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55±10*</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MRG (+)</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6 (%60)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 (%13)</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 (%50)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6 (%67)</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4 (%40)</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5 (%56)</w:t>
            </w:r>
          </w:p>
        </w:tc>
      </w:tr>
      <w:tr w:rsidR="00E659A9" w:rsidRPr="00E95C1F" w:rsidTr="00C416C3">
        <w:trPr>
          <w:trHeight w:val="283"/>
        </w:trPr>
        <w:tc>
          <w:tcPr>
            <w:tcW w:w="2268" w:type="dxa"/>
            <w:vAlign w:val="center"/>
          </w:tcPr>
          <w:p w:rsidR="00E659A9" w:rsidRPr="00C416C3" w:rsidRDefault="00E659A9" w:rsidP="00C416C3">
            <w:pPr>
              <w:rPr>
                <w:rFonts w:ascii="Arial" w:hAnsi="Arial" w:cs="Arial"/>
                <w:sz w:val="18"/>
                <w:szCs w:val="18"/>
              </w:rPr>
            </w:pPr>
            <w:r w:rsidRPr="00C416C3">
              <w:rPr>
                <w:rFonts w:ascii="Arial" w:hAnsi="Arial" w:cs="Arial"/>
                <w:sz w:val="18"/>
                <w:szCs w:val="18"/>
              </w:rPr>
              <w:t>MRG iskemik lezyon (+)</w:t>
            </w:r>
          </w:p>
        </w:tc>
        <w:tc>
          <w:tcPr>
            <w:tcW w:w="850"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0 (%0)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1 (%100)</w:t>
            </w:r>
          </w:p>
        </w:tc>
        <w:tc>
          <w:tcPr>
            <w:tcW w:w="907"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 (%50)</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5 (%83)</w:t>
            </w:r>
          </w:p>
        </w:tc>
        <w:tc>
          <w:tcPr>
            <w:tcW w:w="964"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2 (%50)</w:t>
            </w:r>
          </w:p>
        </w:tc>
        <w:tc>
          <w:tcPr>
            <w:tcW w:w="1191" w:type="dxa"/>
            <w:vAlign w:val="center"/>
          </w:tcPr>
          <w:p w:rsidR="00E659A9" w:rsidRPr="00C416C3" w:rsidRDefault="00E659A9" w:rsidP="00C416C3">
            <w:pPr>
              <w:jc w:val="center"/>
              <w:rPr>
                <w:rFonts w:ascii="Arial" w:hAnsi="Arial" w:cs="Arial"/>
                <w:sz w:val="18"/>
                <w:szCs w:val="18"/>
              </w:rPr>
            </w:pPr>
            <w:r w:rsidRPr="00C416C3">
              <w:rPr>
                <w:rFonts w:ascii="Arial" w:hAnsi="Arial" w:cs="Arial"/>
                <w:sz w:val="18"/>
                <w:szCs w:val="18"/>
              </w:rPr>
              <w:t>3 (%60)</w:t>
            </w:r>
          </w:p>
        </w:tc>
      </w:tr>
    </w:tbl>
    <w:p w:rsidR="00E659A9" w:rsidRPr="00C416C3" w:rsidRDefault="00E659A9" w:rsidP="00C416C3">
      <w:pPr>
        <w:spacing w:before="120" w:after="0"/>
        <w:rPr>
          <w:rFonts w:ascii="Arial" w:hAnsi="Arial" w:cs="Arial"/>
          <w:sz w:val="20"/>
        </w:rPr>
      </w:pPr>
      <w:r w:rsidRPr="00C416C3">
        <w:rPr>
          <w:rFonts w:ascii="Arial" w:hAnsi="Arial" w:cs="Arial"/>
          <w:sz w:val="20"/>
        </w:rPr>
        <w:t>*: p&lt;0,05</w:t>
      </w:r>
    </w:p>
    <w:p w:rsidR="00E659A9" w:rsidRPr="00C31DA6" w:rsidRDefault="00E659A9" w:rsidP="00C416C3">
      <w:pPr>
        <w:pStyle w:val="Balk2"/>
      </w:pPr>
      <w:bookmarkStart w:id="38" w:name="_Toc492677349"/>
      <w:r w:rsidRPr="00461F9A">
        <w:t>3.2.</w:t>
      </w:r>
      <w:r w:rsidRPr="00C31DA6">
        <w:t xml:space="preserve"> </w:t>
      </w:r>
      <w:r w:rsidRPr="00461F9A">
        <w:t>Vazomotor reaktivite</w:t>
      </w:r>
      <w:bookmarkEnd w:id="38"/>
    </w:p>
    <w:p w:rsidR="00E659A9" w:rsidRPr="00461F9A" w:rsidRDefault="00E659A9" w:rsidP="00C416C3">
      <w:pPr>
        <w:pStyle w:val="Balk3"/>
      </w:pPr>
      <w:bookmarkStart w:id="39" w:name="_Toc492677350"/>
      <w:r>
        <w:t>3.2.1.</w:t>
      </w:r>
      <w:r w:rsidRPr="00461F9A">
        <w:t>BHI</w:t>
      </w:r>
      <w:bookmarkEnd w:id="39"/>
    </w:p>
    <w:p w:rsidR="00C416C3" w:rsidRDefault="00E659A9" w:rsidP="00C416C3">
      <w:pPr>
        <w:pStyle w:val="METN"/>
        <w:sectPr w:rsidR="00C416C3" w:rsidSect="00AA51A2">
          <w:pgSz w:w="11906" w:h="16838"/>
          <w:pgMar w:top="1701" w:right="1418" w:bottom="1701" w:left="2268" w:header="709" w:footer="709" w:gutter="0"/>
          <w:pgNumType w:start="1"/>
          <w:cols w:space="708"/>
          <w:docGrid w:linePitch="360"/>
        </w:sectPr>
      </w:pPr>
      <w:r w:rsidRPr="00461F9A">
        <w:t>Migren’li olguların migreni olmayanlarla karşılaştırılmasında PCA için BHT parametrelerinin belirgin farklılık göstermediği tespit edilmiştir (Tablo-2). MCA için bazal akım parametrelerinde farklılık yoktur. Ancak migrenli bireylerde MCA BHI anlamlı olarak artmıştır (1,24’e 0,93; p=0,019). Apne sonunda olan akım değeri (p=0,029) ve yüzde artış (p=0,050) da migren olgularında anlamlı olarak fazladır. BHI farkı sadece ipsilateral hemisferde anlamlılık seviyesine varmaktadır (p=0,002) (Tablo-</w:t>
      </w:r>
      <w:proofErr w:type="gramStart"/>
      <w:r w:rsidR="00C416C3">
        <w:t>3.</w:t>
      </w:r>
      <w:r w:rsidRPr="00461F9A">
        <w:t>2</w:t>
      </w:r>
      <w:proofErr w:type="gramEnd"/>
      <w:r w:rsidRPr="00461F9A">
        <w:t>).</w:t>
      </w:r>
    </w:p>
    <w:p w:rsidR="00E659A9" w:rsidRPr="00461F9A" w:rsidRDefault="00C416C3" w:rsidP="00C416C3">
      <w:pPr>
        <w:pStyle w:val="Tablolar6"/>
        <w:spacing w:before="0"/>
      </w:pPr>
      <w:bookmarkStart w:id="40" w:name="_Toc492677367"/>
      <w:r>
        <w:lastRenderedPageBreak/>
        <w:t xml:space="preserve">Tablo </w:t>
      </w:r>
      <w:proofErr w:type="gramStart"/>
      <w:r>
        <w:t>3.2</w:t>
      </w:r>
      <w:proofErr w:type="gramEnd"/>
      <w:r>
        <w:t>.</w:t>
      </w:r>
      <w:r w:rsidR="00E659A9" w:rsidRPr="00461F9A">
        <w:t xml:space="preserve"> </w:t>
      </w:r>
      <w:r w:rsidR="00E659A9" w:rsidRPr="00C416C3">
        <w:rPr>
          <w:b w:val="0"/>
        </w:rPr>
        <w:t>Bazal VMR I</w:t>
      </w:r>
      <w:bookmarkEnd w:id="40"/>
    </w:p>
    <w:tbl>
      <w:tblPr>
        <w:tblStyle w:val="TabloKlavuzu"/>
        <w:tblW w:w="5000" w:type="pct"/>
        <w:tblLook w:val="04A0" w:firstRow="1" w:lastRow="0" w:firstColumn="1" w:lastColumn="0" w:noHBand="0" w:noVBand="1"/>
      </w:tblPr>
      <w:tblGrid>
        <w:gridCol w:w="2643"/>
        <w:gridCol w:w="1797"/>
        <w:gridCol w:w="1796"/>
        <w:gridCol w:w="1796"/>
        <w:gridCol w:w="1799"/>
        <w:gridCol w:w="1796"/>
        <w:gridCol w:w="1799"/>
      </w:tblGrid>
      <w:tr w:rsidR="00E659A9" w:rsidRPr="00C416C3" w:rsidTr="00C416C3">
        <w:tc>
          <w:tcPr>
            <w:tcW w:w="984" w:type="pct"/>
          </w:tcPr>
          <w:p w:rsidR="00E659A9" w:rsidRPr="00C416C3" w:rsidRDefault="00E659A9" w:rsidP="001731FC">
            <w:pPr>
              <w:rPr>
                <w:rFonts w:ascii="Arial" w:hAnsi="Arial" w:cs="Arial"/>
                <w:b/>
                <w:sz w:val="18"/>
                <w:szCs w:val="18"/>
              </w:rPr>
            </w:pPr>
          </w:p>
        </w:tc>
        <w:tc>
          <w:tcPr>
            <w:tcW w:w="1338" w:type="pct"/>
            <w:gridSpan w:val="2"/>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Migren</w:t>
            </w:r>
          </w:p>
        </w:tc>
        <w:tc>
          <w:tcPr>
            <w:tcW w:w="1339" w:type="pct"/>
            <w:gridSpan w:val="2"/>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Aura</w:t>
            </w:r>
          </w:p>
        </w:tc>
        <w:tc>
          <w:tcPr>
            <w:tcW w:w="1339" w:type="pct"/>
            <w:gridSpan w:val="2"/>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PFO</w:t>
            </w:r>
          </w:p>
        </w:tc>
      </w:tr>
      <w:tr w:rsidR="00E659A9" w:rsidRPr="00C416C3" w:rsidTr="00C416C3">
        <w:tc>
          <w:tcPr>
            <w:tcW w:w="984" w:type="pct"/>
          </w:tcPr>
          <w:p w:rsidR="00E659A9" w:rsidRPr="00C416C3" w:rsidRDefault="00E659A9" w:rsidP="001731FC">
            <w:pPr>
              <w:rPr>
                <w:rFonts w:ascii="Arial" w:hAnsi="Arial" w:cs="Arial"/>
                <w:b/>
                <w:sz w:val="18"/>
                <w:szCs w:val="18"/>
              </w:rPr>
            </w:pP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c>
          <w:tcPr>
            <w:tcW w:w="670"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c>
          <w:tcPr>
            <w:tcW w:w="670"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w:t>
            </w:r>
          </w:p>
        </w:tc>
      </w:tr>
      <w:tr w:rsidR="00E659A9" w:rsidRPr="00C416C3" w:rsidTr="00C416C3">
        <w:tc>
          <w:tcPr>
            <w:tcW w:w="984" w:type="pct"/>
          </w:tcPr>
          <w:p w:rsidR="00E659A9" w:rsidRPr="00C416C3" w:rsidRDefault="00E659A9" w:rsidP="001731FC">
            <w:pPr>
              <w:rPr>
                <w:rFonts w:ascii="Arial" w:hAnsi="Arial" w:cs="Arial"/>
                <w:b/>
                <w:sz w:val="18"/>
                <w:szCs w:val="18"/>
              </w:rPr>
            </w:pP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n=38</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n=18</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n=19</w:t>
            </w:r>
          </w:p>
        </w:tc>
        <w:tc>
          <w:tcPr>
            <w:tcW w:w="670"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n=37</w:t>
            </w:r>
          </w:p>
        </w:tc>
        <w:tc>
          <w:tcPr>
            <w:tcW w:w="669"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n=26</w:t>
            </w:r>
          </w:p>
        </w:tc>
        <w:tc>
          <w:tcPr>
            <w:tcW w:w="670" w:type="pct"/>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n=30</w:t>
            </w:r>
          </w:p>
        </w:tc>
      </w:tr>
      <w:tr w:rsidR="00E659A9" w:rsidRPr="00C416C3" w:rsidTr="00C416C3">
        <w:tc>
          <w:tcPr>
            <w:tcW w:w="5000" w:type="pct"/>
            <w:gridSpan w:val="7"/>
            <w:shd w:val="clear" w:color="auto" w:fill="F2F2F2" w:themeFill="background1" w:themeFillShade="F2"/>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PCA</w:t>
            </w:r>
          </w:p>
        </w:tc>
      </w:tr>
      <w:tr w:rsidR="00E659A9" w:rsidRPr="00C416C3" w:rsidTr="00C416C3">
        <w:tc>
          <w:tcPr>
            <w:tcW w:w="5000" w:type="pct"/>
            <w:gridSpan w:val="7"/>
            <w:shd w:val="clear" w:color="auto" w:fill="F2F2F2" w:themeFill="background1" w:themeFillShade="F2"/>
          </w:tcPr>
          <w:p w:rsidR="00E659A9" w:rsidRPr="00C416C3" w:rsidRDefault="00E659A9" w:rsidP="001731FC">
            <w:pPr>
              <w:jc w:val="center"/>
              <w:rPr>
                <w:rFonts w:ascii="Arial" w:hAnsi="Arial" w:cs="Arial"/>
                <w:sz w:val="18"/>
                <w:szCs w:val="18"/>
              </w:rPr>
            </w:pPr>
            <w:r w:rsidRPr="00C416C3">
              <w:rPr>
                <w:rFonts w:ascii="Arial" w:hAnsi="Arial" w:cs="Arial"/>
                <w:sz w:val="18"/>
                <w:szCs w:val="18"/>
              </w:rPr>
              <w:t>BHI</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 xml:space="preserve">Bazal Vmean </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46±8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44±10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47±7</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44±10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44±8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46±9</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Bazal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0,71±0,12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0,73±0,11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0,74±0,12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0,70±0,11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0,69±0,13</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0,74±0,10</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Dip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38±15</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38±14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41±13</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37±15</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36±14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40±15</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Dip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0,72±0,31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0,75±0,26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0,79±0,29</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0,70±0,29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0,70±0,28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0,76±0,30</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Δ (%) Dip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-9,2±10,2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-4,8±7,4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-7,9±10,4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-7,6±9,2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-7,4±9,5</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-7,9±9,7</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Δ Dip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0,063±0,077</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0,006±0,072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0,074±0,075</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0,029±0,078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0,045±0,051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0,042±0,101</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t dip</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8,0±3,9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9,4±3,3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7,9±3,4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8,8±3,9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8,6±3,3</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8,4±4,1</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Apne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61±13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56±12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62±11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58±14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57±12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62±14</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Apne Δ (%)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34±14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30±10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34±14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32±12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30±12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34±13</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BHI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1,13±0,44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1,00±0,33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1,16±0,44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1,05±0,40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1,03±0,40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1,15±0,42</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Ipsi. Δ (%) Dip Vm.</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-10,1±7,9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-8,2±9,4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-10,3±7,0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-9,0±9,1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-11,0±9,0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-8,0±7,7</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Kontr. Δ (%) Dip Vm.</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-9,3±11,0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-5,7±6,9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-8,4±12,0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-7,9±8,7</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-9,2±8,6</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-7,0±11,0</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Ipsilateral BHI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1,11±0,45</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1,02±0,43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1,09±0,41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1,07±0,46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1,02±0,46</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1,13±0,42</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Kontrlateral BHI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1,17±0,50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0,98±0,32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1,24±0,52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1,04±0,41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1,04±0,42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1,17±0,42</w:t>
            </w:r>
          </w:p>
        </w:tc>
      </w:tr>
      <w:tr w:rsidR="00E659A9" w:rsidRPr="00C416C3" w:rsidTr="00C416C3">
        <w:tc>
          <w:tcPr>
            <w:tcW w:w="5000" w:type="pct"/>
            <w:gridSpan w:val="7"/>
            <w:shd w:val="clear" w:color="auto" w:fill="F2F2F2" w:themeFill="background1" w:themeFillShade="F2"/>
          </w:tcPr>
          <w:p w:rsidR="00E659A9" w:rsidRPr="00C416C3" w:rsidRDefault="00E659A9" w:rsidP="001731FC">
            <w:pPr>
              <w:jc w:val="center"/>
              <w:rPr>
                <w:rFonts w:ascii="Arial" w:hAnsi="Arial" w:cs="Arial"/>
                <w:sz w:val="18"/>
                <w:szCs w:val="18"/>
              </w:rPr>
            </w:pPr>
            <w:r w:rsidRPr="00C416C3">
              <w:rPr>
                <w:rFonts w:ascii="Arial" w:hAnsi="Arial" w:cs="Arial"/>
                <w:sz w:val="18"/>
                <w:szCs w:val="18"/>
              </w:rPr>
              <w:t>HPV</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HPV Δ (%</w:t>
            </w:r>
            <w:r w:rsidRPr="00C416C3">
              <w:rPr>
                <w:rFonts w:ascii="Arial" w:hAnsi="Arial" w:cs="Arial"/>
                <w:sz w:val="18"/>
                <w:szCs w:val="18"/>
              </w:rPr>
              <w:sym w:font="Symbol" w:char="F0AF"/>
            </w:r>
            <w:r w:rsidRPr="00C416C3">
              <w:rPr>
                <w:rFonts w:ascii="Arial" w:hAnsi="Arial" w:cs="Arial"/>
                <w:sz w:val="18"/>
                <w:szCs w:val="18"/>
              </w:rPr>
              <w:t>)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28±9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25±8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27±7</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27±11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27±7</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İpsi HPV Δ (%</w:t>
            </w:r>
            <w:r w:rsidRPr="00C416C3">
              <w:rPr>
                <w:rFonts w:ascii="Arial" w:hAnsi="Arial" w:cs="Arial"/>
                <w:sz w:val="18"/>
                <w:szCs w:val="18"/>
              </w:rPr>
              <w:sym w:font="Symbol" w:char="F0AF"/>
            </w:r>
            <w:r w:rsidRPr="00C416C3">
              <w:rPr>
                <w:rFonts w:ascii="Arial" w:hAnsi="Arial" w:cs="Arial"/>
                <w:sz w:val="18"/>
                <w:szCs w:val="18"/>
              </w:rPr>
              <w:t>) Vm.</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29±8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26±9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29±9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28±9</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28±8</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Kontr HPV Δ (%</w:t>
            </w:r>
            <w:r w:rsidRPr="00C416C3">
              <w:rPr>
                <w:rFonts w:ascii="Arial" w:hAnsi="Arial" w:cs="Arial"/>
                <w:sz w:val="18"/>
                <w:szCs w:val="18"/>
              </w:rPr>
              <w:sym w:font="Symbol" w:char="F0AF"/>
            </w:r>
            <w:r w:rsidRPr="00C416C3">
              <w:rPr>
                <w:rFonts w:ascii="Arial" w:hAnsi="Arial" w:cs="Arial"/>
                <w:sz w:val="18"/>
                <w:szCs w:val="18"/>
              </w:rPr>
              <w:t>) Vm.</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29±9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23±10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27±10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28±11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26±8</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t plato</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15,7±3,6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16,0±3,7</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15,0±2,6</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16,2±4,0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15,8±4,0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15,9±3,4</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HPV Δ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0,35±0,23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0,27±0,22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0,33±0,19</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0,32±0,24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0,27±0,21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0,37±0,23</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İpsi HPV Δ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0,36±0,25</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0,29±0,31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0,33±0,17</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0,33±0,31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0,26±0,21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0,40±0,30</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Kontr HPV Δ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0,33±0,24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0,25±0,18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0,33±0,24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0,29±0,22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0,27±0,24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0,34±0,21</w:t>
            </w:r>
          </w:p>
        </w:tc>
      </w:tr>
      <w:tr w:rsidR="00E659A9" w:rsidRPr="00C416C3" w:rsidTr="00C416C3">
        <w:tc>
          <w:tcPr>
            <w:tcW w:w="5000" w:type="pct"/>
            <w:gridSpan w:val="7"/>
            <w:shd w:val="clear" w:color="auto" w:fill="F2F2F2" w:themeFill="background1" w:themeFillShade="F2"/>
          </w:tcPr>
          <w:p w:rsidR="00E659A9" w:rsidRPr="00C416C3" w:rsidRDefault="00E659A9" w:rsidP="001731FC">
            <w:pPr>
              <w:jc w:val="center"/>
              <w:rPr>
                <w:rFonts w:ascii="Arial" w:hAnsi="Arial" w:cs="Arial"/>
                <w:b/>
                <w:sz w:val="18"/>
                <w:szCs w:val="18"/>
              </w:rPr>
            </w:pPr>
            <w:r w:rsidRPr="00C416C3">
              <w:rPr>
                <w:rFonts w:ascii="Arial" w:hAnsi="Arial" w:cs="Arial"/>
                <w:b/>
                <w:sz w:val="18"/>
                <w:szCs w:val="18"/>
              </w:rPr>
              <w:t>MCA</w:t>
            </w:r>
          </w:p>
        </w:tc>
      </w:tr>
      <w:tr w:rsidR="00E659A9" w:rsidRPr="00C416C3" w:rsidTr="00C416C3">
        <w:tc>
          <w:tcPr>
            <w:tcW w:w="5000" w:type="pct"/>
            <w:gridSpan w:val="7"/>
            <w:shd w:val="clear" w:color="auto" w:fill="F2F2F2" w:themeFill="background1" w:themeFillShade="F2"/>
          </w:tcPr>
          <w:p w:rsidR="00E659A9" w:rsidRPr="00C416C3" w:rsidRDefault="00E659A9" w:rsidP="001731FC">
            <w:pPr>
              <w:jc w:val="center"/>
              <w:rPr>
                <w:rFonts w:ascii="Arial" w:hAnsi="Arial" w:cs="Arial"/>
                <w:sz w:val="18"/>
                <w:szCs w:val="18"/>
              </w:rPr>
            </w:pPr>
            <w:r w:rsidRPr="00C416C3">
              <w:rPr>
                <w:rFonts w:ascii="Arial" w:hAnsi="Arial" w:cs="Arial"/>
                <w:sz w:val="18"/>
                <w:szCs w:val="18"/>
              </w:rPr>
              <w:t>BHI</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 xml:space="preserve">Bazal Vmean </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65±9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62±11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64±10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64±10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63±12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65±8</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Bazal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0,72±0,11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0,70±0,11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0,73±0,10</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0,70±0,12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0,68±1,08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0,75±0,11</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Dip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61±9</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57±10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60±8</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59±11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57±11</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62±9</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Dip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0,79±0,13</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0,78±0,15</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0,84±0,12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0,76±0,14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0,73±0,14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0,84±0,12</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Δ (%) Dip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-8,8±9,4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-9,3±8,4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-9,6±8,5</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-8,6±9,4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-11,0±9,9</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-7,3±8,0</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Δ Dip PI</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-0.090±0,098</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-0,072±0.092</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-0,109±0,102</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-0,071±0,091</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-0,059±0,076</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-0,104±0,106</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t dip</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10,4±3,0</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10,7±2,6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10,3±3,5</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10,6±2,6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10,7±2,9</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10,4±2,9</w:t>
            </w:r>
          </w:p>
        </w:tc>
      </w:tr>
      <w:tr w:rsidR="00E659A9" w:rsidRPr="00C416C3" w:rsidTr="00C416C3">
        <w:tc>
          <w:tcPr>
            <w:tcW w:w="984" w:type="pct"/>
          </w:tcPr>
          <w:p w:rsidR="00E659A9" w:rsidRPr="00C416C3" w:rsidRDefault="00E659A9" w:rsidP="001731FC">
            <w:pPr>
              <w:rPr>
                <w:rFonts w:ascii="Arial" w:hAnsi="Arial" w:cs="Arial"/>
                <w:sz w:val="18"/>
                <w:szCs w:val="18"/>
              </w:rPr>
            </w:pPr>
            <w:r w:rsidRPr="00C416C3">
              <w:rPr>
                <w:rFonts w:ascii="Arial" w:hAnsi="Arial" w:cs="Arial"/>
                <w:sz w:val="18"/>
                <w:szCs w:val="18"/>
              </w:rPr>
              <w:t>Apne Vmean</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88±16</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79±14</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86±14</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85±17</w:t>
            </w:r>
          </w:p>
        </w:tc>
        <w:tc>
          <w:tcPr>
            <w:tcW w:w="669"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80±16</w:t>
            </w:r>
          </w:p>
        </w:tc>
        <w:tc>
          <w:tcPr>
            <w:tcW w:w="670" w:type="pct"/>
          </w:tcPr>
          <w:p w:rsidR="00E659A9" w:rsidRPr="00C416C3" w:rsidRDefault="00E659A9" w:rsidP="001731FC">
            <w:pPr>
              <w:jc w:val="center"/>
              <w:rPr>
                <w:rFonts w:ascii="Arial" w:hAnsi="Arial" w:cs="Arial"/>
                <w:sz w:val="18"/>
                <w:szCs w:val="18"/>
              </w:rPr>
            </w:pPr>
            <w:r w:rsidRPr="00C416C3">
              <w:rPr>
                <w:rFonts w:ascii="Arial" w:hAnsi="Arial" w:cs="Arial"/>
                <w:sz w:val="18"/>
                <w:szCs w:val="18"/>
              </w:rPr>
              <w:t>89±15</w:t>
            </w:r>
          </w:p>
        </w:tc>
      </w:tr>
    </w:tbl>
    <w:p w:rsidR="00FB3620" w:rsidRPr="00461F9A" w:rsidRDefault="00FB3620" w:rsidP="00FB3620">
      <w:pPr>
        <w:pStyle w:val="METN"/>
        <w:ind w:firstLine="0"/>
      </w:pPr>
      <w:r w:rsidRPr="00FB3620">
        <w:rPr>
          <w:b/>
        </w:rPr>
        <w:lastRenderedPageBreak/>
        <w:t xml:space="preserve">Tablo </w:t>
      </w:r>
      <w:proofErr w:type="gramStart"/>
      <w:r w:rsidRPr="00FB3620">
        <w:rPr>
          <w:b/>
        </w:rPr>
        <w:t>3.2</w:t>
      </w:r>
      <w:proofErr w:type="gramEnd"/>
      <w:r w:rsidRPr="00FB3620">
        <w:rPr>
          <w:b/>
        </w:rPr>
        <w:t>.</w:t>
      </w:r>
      <w:r w:rsidRPr="00461F9A">
        <w:t xml:space="preserve"> </w:t>
      </w:r>
      <w:r w:rsidRPr="007259BF">
        <w:rPr>
          <w:b/>
        </w:rPr>
        <w:t>(Devam)</w:t>
      </w:r>
      <w:r>
        <w:t xml:space="preserve"> </w:t>
      </w:r>
      <w:r w:rsidRPr="00C416C3">
        <w:t>Bazal VMR I</w:t>
      </w:r>
    </w:p>
    <w:tbl>
      <w:tblPr>
        <w:tblStyle w:val="TabloKlavuzu"/>
        <w:tblW w:w="5000" w:type="pct"/>
        <w:tblLook w:val="04A0" w:firstRow="1" w:lastRow="0" w:firstColumn="1" w:lastColumn="0" w:noHBand="0" w:noVBand="1"/>
      </w:tblPr>
      <w:tblGrid>
        <w:gridCol w:w="2643"/>
        <w:gridCol w:w="1797"/>
        <w:gridCol w:w="1796"/>
        <w:gridCol w:w="1796"/>
        <w:gridCol w:w="1799"/>
        <w:gridCol w:w="1796"/>
        <w:gridCol w:w="1799"/>
      </w:tblGrid>
      <w:tr w:rsidR="00FB3620" w:rsidRPr="00C416C3" w:rsidTr="00DF11CD">
        <w:tc>
          <w:tcPr>
            <w:tcW w:w="984"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Migren</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Aura</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PFO</w:t>
            </w:r>
          </w:p>
        </w:tc>
        <w:tc>
          <w:tcPr>
            <w:tcW w:w="670"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Migren</w:t>
            </w:r>
          </w:p>
        </w:tc>
        <w:tc>
          <w:tcPr>
            <w:tcW w:w="670"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Aura</w:t>
            </w:r>
          </w:p>
        </w:tc>
      </w:tr>
      <w:tr w:rsidR="00FB3620" w:rsidRPr="00C416C3" w:rsidTr="00DF11CD">
        <w:tc>
          <w:tcPr>
            <w:tcW w:w="984"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w:t>
            </w:r>
          </w:p>
        </w:tc>
        <w:tc>
          <w:tcPr>
            <w:tcW w:w="670"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w:t>
            </w:r>
          </w:p>
        </w:tc>
        <w:tc>
          <w:tcPr>
            <w:tcW w:w="670"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w:t>
            </w:r>
          </w:p>
        </w:tc>
      </w:tr>
      <w:tr w:rsidR="00FB3620" w:rsidRPr="00C416C3" w:rsidTr="00DF11CD">
        <w:tc>
          <w:tcPr>
            <w:tcW w:w="984"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n=38</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n=18</w:t>
            </w: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n=19</w:t>
            </w:r>
          </w:p>
        </w:tc>
        <w:tc>
          <w:tcPr>
            <w:tcW w:w="670" w:type="pct"/>
          </w:tcPr>
          <w:p w:rsidR="00FB3620" w:rsidRPr="00C416C3" w:rsidRDefault="00FB3620" w:rsidP="00FB3620">
            <w:pPr>
              <w:rPr>
                <w:rFonts w:ascii="Arial" w:hAnsi="Arial" w:cs="Arial"/>
                <w:b/>
                <w:sz w:val="18"/>
                <w:szCs w:val="18"/>
              </w:rPr>
            </w:pPr>
          </w:p>
        </w:tc>
        <w:tc>
          <w:tcPr>
            <w:tcW w:w="669"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n=38</w:t>
            </w:r>
          </w:p>
        </w:tc>
        <w:tc>
          <w:tcPr>
            <w:tcW w:w="670" w:type="pct"/>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n=18</w:t>
            </w:r>
          </w:p>
        </w:tc>
      </w:tr>
      <w:tr w:rsidR="00FB3620" w:rsidRPr="00C416C3" w:rsidTr="00DF11CD">
        <w:tc>
          <w:tcPr>
            <w:tcW w:w="984" w:type="pct"/>
            <w:shd w:val="clear" w:color="auto" w:fill="F2F2F2" w:themeFill="background1" w:themeFillShade="F2"/>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PCA</w:t>
            </w: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70" w:type="pct"/>
            <w:shd w:val="clear" w:color="auto" w:fill="F2F2F2" w:themeFill="background1" w:themeFillShade="F2"/>
          </w:tcPr>
          <w:p w:rsidR="00FB3620" w:rsidRPr="00C416C3" w:rsidRDefault="00FB3620" w:rsidP="00FB3620">
            <w:pPr>
              <w:jc w:val="center"/>
              <w:rPr>
                <w:rFonts w:ascii="Arial" w:hAnsi="Arial" w:cs="Arial"/>
                <w:b/>
                <w:sz w:val="18"/>
                <w:szCs w:val="18"/>
              </w:rPr>
            </w:pPr>
            <w:r w:rsidRPr="00C416C3">
              <w:rPr>
                <w:rFonts w:ascii="Arial" w:hAnsi="Arial" w:cs="Arial"/>
                <w:b/>
                <w:sz w:val="18"/>
                <w:szCs w:val="18"/>
              </w:rPr>
              <w:t>PCA</w:t>
            </w: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70" w:type="pct"/>
            <w:shd w:val="clear" w:color="auto" w:fill="F2F2F2" w:themeFill="background1" w:themeFillShade="F2"/>
          </w:tcPr>
          <w:p w:rsidR="00FB3620" w:rsidRPr="00C416C3" w:rsidRDefault="00FB3620" w:rsidP="00FB3620">
            <w:pPr>
              <w:jc w:val="center"/>
              <w:rPr>
                <w:rFonts w:ascii="Arial" w:hAnsi="Arial" w:cs="Arial"/>
                <w:sz w:val="18"/>
                <w:szCs w:val="18"/>
              </w:rPr>
            </w:pPr>
          </w:p>
        </w:tc>
      </w:tr>
      <w:tr w:rsidR="00FB3620" w:rsidRPr="00C416C3" w:rsidTr="00DF11CD">
        <w:tc>
          <w:tcPr>
            <w:tcW w:w="984" w:type="pct"/>
            <w:shd w:val="clear" w:color="auto" w:fill="F2F2F2" w:themeFill="background1" w:themeFillShade="F2"/>
          </w:tcPr>
          <w:p w:rsidR="00FB3620" w:rsidRPr="00C416C3" w:rsidRDefault="00FB3620" w:rsidP="00FB3620">
            <w:pPr>
              <w:jc w:val="center"/>
              <w:rPr>
                <w:rFonts w:ascii="Arial" w:hAnsi="Arial" w:cs="Arial"/>
                <w:sz w:val="18"/>
                <w:szCs w:val="18"/>
              </w:rPr>
            </w:pPr>
            <w:r w:rsidRPr="00C416C3">
              <w:rPr>
                <w:rFonts w:ascii="Arial" w:hAnsi="Arial" w:cs="Arial"/>
                <w:sz w:val="18"/>
                <w:szCs w:val="18"/>
              </w:rPr>
              <w:t>BHI</w:t>
            </w: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70" w:type="pct"/>
            <w:shd w:val="clear" w:color="auto" w:fill="F2F2F2" w:themeFill="background1" w:themeFillShade="F2"/>
          </w:tcPr>
          <w:p w:rsidR="00FB3620" w:rsidRPr="00C416C3" w:rsidRDefault="00FB3620" w:rsidP="00FB3620">
            <w:pPr>
              <w:jc w:val="center"/>
              <w:rPr>
                <w:rFonts w:ascii="Arial" w:hAnsi="Arial" w:cs="Arial"/>
                <w:sz w:val="18"/>
                <w:szCs w:val="18"/>
              </w:rPr>
            </w:pPr>
            <w:r w:rsidRPr="00C416C3">
              <w:rPr>
                <w:rFonts w:ascii="Arial" w:hAnsi="Arial" w:cs="Arial"/>
                <w:sz w:val="18"/>
                <w:szCs w:val="18"/>
              </w:rPr>
              <w:t>BHI</w:t>
            </w:r>
          </w:p>
        </w:tc>
        <w:tc>
          <w:tcPr>
            <w:tcW w:w="669" w:type="pct"/>
            <w:shd w:val="clear" w:color="auto" w:fill="F2F2F2" w:themeFill="background1" w:themeFillShade="F2"/>
          </w:tcPr>
          <w:p w:rsidR="00FB3620" w:rsidRPr="00C416C3" w:rsidRDefault="00FB3620" w:rsidP="00FB3620">
            <w:pPr>
              <w:jc w:val="center"/>
              <w:rPr>
                <w:rFonts w:ascii="Arial" w:hAnsi="Arial" w:cs="Arial"/>
                <w:sz w:val="18"/>
                <w:szCs w:val="18"/>
              </w:rPr>
            </w:pPr>
          </w:p>
        </w:tc>
        <w:tc>
          <w:tcPr>
            <w:tcW w:w="670" w:type="pct"/>
            <w:shd w:val="clear" w:color="auto" w:fill="F2F2F2" w:themeFill="background1" w:themeFillShade="F2"/>
          </w:tcPr>
          <w:p w:rsidR="00FB3620" w:rsidRPr="00C416C3" w:rsidRDefault="00FB3620" w:rsidP="00FB3620">
            <w:pPr>
              <w:jc w:val="center"/>
              <w:rPr>
                <w:rFonts w:ascii="Arial" w:hAnsi="Arial" w:cs="Arial"/>
                <w:sz w:val="18"/>
                <w:szCs w:val="18"/>
              </w:rPr>
            </w:pP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Apne Δ (%) Vmean</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35±14</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28±11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34±12</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32±14</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29±14</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36±11</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BHI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1,24±0,57</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0,93±0,38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1,23±0,49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1,10±0,55</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1,03±0,61</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1,24±0,44</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Ipsi. Δ (%) Dip Vmean</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-8,7±10,3</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-11,2±8,4</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-10,7±9,1</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-9,0±10,1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-10,9±10,2</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-8,4±9,3</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Kontr. Δ(%)Dip Vmean</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-8,6±9,8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-11,2±8,4</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-8,8±9,1</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-7,8±10,1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-11,1±10,7</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-5,6±8,0</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Ipsilateral BHI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1,23±0,60</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0,83±0,30</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1,21±0,53</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1,04±0,56</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1,00±0,63</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1,19±0,47</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Kontrlateral BHI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1,26±0,57</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1,03±0,50</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1,24±0,49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1,15±0.58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1,07±0,64</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1,28±0,45</w:t>
            </w:r>
          </w:p>
        </w:tc>
      </w:tr>
      <w:tr w:rsidR="00FB3620" w:rsidRPr="00C416C3" w:rsidTr="00DF11CD">
        <w:tc>
          <w:tcPr>
            <w:tcW w:w="5000" w:type="pct"/>
            <w:gridSpan w:val="7"/>
            <w:shd w:val="clear" w:color="auto" w:fill="F2F2F2" w:themeFill="background1" w:themeFillShade="F2"/>
          </w:tcPr>
          <w:p w:rsidR="00FB3620" w:rsidRPr="00C416C3" w:rsidRDefault="00FB3620" w:rsidP="00DF11CD">
            <w:pPr>
              <w:jc w:val="center"/>
              <w:rPr>
                <w:rFonts w:ascii="Arial" w:hAnsi="Arial" w:cs="Arial"/>
                <w:sz w:val="18"/>
                <w:szCs w:val="18"/>
              </w:rPr>
            </w:pPr>
            <w:r w:rsidRPr="00C416C3">
              <w:rPr>
                <w:rFonts w:ascii="Arial" w:hAnsi="Arial" w:cs="Arial"/>
                <w:sz w:val="18"/>
                <w:szCs w:val="18"/>
              </w:rPr>
              <w:t>HPV</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HPV Δ (%</w:t>
            </w:r>
            <w:r w:rsidRPr="00C416C3">
              <w:rPr>
                <w:rFonts w:ascii="Arial" w:hAnsi="Arial" w:cs="Arial"/>
                <w:sz w:val="18"/>
                <w:szCs w:val="18"/>
              </w:rPr>
              <w:sym w:font="Symbol" w:char="F0AF"/>
            </w:r>
            <w:r w:rsidRPr="00C416C3">
              <w:rPr>
                <w:rFonts w:ascii="Arial" w:hAnsi="Arial" w:cs="Arial"/>
                <w:sz w:val="18"/>
                <w:szCs w:val="18"/>
              </w:rPr>
              <w:t>) Vmean</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27±8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26±8</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26±8</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İpsi HPV Δ (%</w:t>
            </w:r>
            <w:r w:rsidRPr="00C416C3">
              <w:rPr>
                <w:rFonts w:ascii="Arial" w:hAnsi="Arial" w:cs="Arial"/>
                <w:sz w:val="18"/>
                <w:szCs w:val="18"/>
              </w:rPr>
              <w:sym w:font="Symbol" w:char="F0AF"/>
            </w:r>
            <w:r w:rsidRPr="00C416C3">
              <w:rPr>
                <w:rFonts w:ascii="Arial" w:hAnsi="Arial" w:cs="Arial"/>
                <w:sz w:val="18"/>
                <w:szCs w:val="18"/>
              </w:rPr>
              <w:t>) Vm.</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28±9</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26±11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26±8</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28±10</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29±9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26±10</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Kontr HPV Δ (%</w:t>
            </w:r>
            <w:r w:rsidRPr="00C416C3">
              <w:rPr>
                <w:rFonts w:ascii="Arial" w:hAnsi="Arial" w:cs="Arial"/>
                <w:sz w:val="18"/>
                <w:szCs w:val="18"/>
              </w:rPr>
              <w:sym w:font="Symbol" w:char="F0AF"/>
            </w:r>
            <w:r w:rsidRPr="00C416C3">
              <w:rPr>
                <w:rFonts w:ascii="Arial" w:hAnsi="Arial" w:cs="Arial"/>
                <w:sz w:val="18"/>
                <w:szCs w:val="18"/>
              </w:rPr>
              <w:t>) Vm.</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27±9</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26±7</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25±9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28±8</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27±9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26±7</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t plato</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16,0±2,9</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16,5±3,3</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15,0±3,3</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16,7±2,7</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16,2±2,8</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16,1±3,2</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HPV Δ PI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0,33±0,21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0,23±0,17</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0,29±0,17</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0,30±0,23</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0,26±0,19</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0,32±0,22</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İpsi HPV Δ PI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0,33±0,22</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0,22±0,21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0,29±0,17</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0,29±0,25</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0,29±0,23</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0,29±0,22</w:t>
            </w:r>
          </w:p>
        </w:tc>
      </w:tr>
      <w:tr w:rsidR="00FB3620" w:rsidRPr="00C416C3" w:rsidTr="00DF11CD">
        <w:tc>
          <w:tcPr>
            <w:tcW w:w="984" w:type="pct"/>
          </w:tcPr>
          <w:p w:rsidR="00FB3620" w:rsidRPr="00C416C3" w:rsidRDefault="00FB3620" w:rsidP="00DF11CD">
            <w:pPr>
              <w:rPr>
                <w:rFonts w:ascii="Arial" w:hAnsi="Arial" w:cs="Arial"/>
                <w:sz w:val="18"/>
                <w:szCs w:val="18"/>
              </w:rPr>
            </w:pPr>
            <w:r w:rsidRPr="00C416C3">
              <w:rPr>
                <w:rFonts w:ascii="Arial" w:hAnsi="Arial" w:cs="Arial"/>
                <w:sz w:val="18"/>
                <w:szCs w:val="18"/>
              </w:rPr>
              <w:t>Kontr HPV Δ PI</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0,32±0,21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0,24±0,16</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0,29±0,17</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0,29±0,21</w:t>
            </w:r>
          </w:p>
        </w:tc>
        <w:tc>
          <w:tcPr>
            <w:tcW w:w="669"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0,26±0,18</w:t>
            </w:r>
          </w:p>
        </w:tc>
        <w:tc>
          <w:tcPr>
            <w:tcW w:w="670" w:type="pct"/>
          </w:tcPr>
          <w:p w:rsidR="00FB3620" w:rsidRPr="00C416C3" w:rsidRDefault="00FB3620" w:rsidP="00DF11CD">
            <w:pPr>
              <w:jc w:val="center"/>
              <w:rPr>
                <w:rFonts w:ascii="Arial" w:hAnsi="Arial" w:cs="Arial"/>
                <w:sz w:val="18"/>
                <w:szCs w:val="18"/>
              </w:rPr>
            </w:pPr>
            <w:r w:rsidRPr="00C416C3">
              <w:rPr>
                <w:rFonts w:ascii="Arial" w:hAnsi="Arial" w:cs="Arial"/>
                <w:sz w:val="18"/>
                <w:szCs w:val="18"/>
              </w:rPr>
              <w:t>0,32±0,21</w:t>
            </w:r>
          </w:p>
        </w:tc>
      </w:tr>
    </w:tbl>
    <w:p w:rsidR="00FB3620" w:rsidRDefault="00FB3620">
      <w:pPr>
        <w:rPr>
          <w:rFonts w:cstheme="minorHAnsi"/>
          <w:b/>
          <w:sz w:val="20"/>
          <w:szCs w:val="20"/>
        </w:rPr>
        <w:sectPr w:rsidR="00FB3620" w:rsidSect="00AC3AB1">
          <w:pgSz w:w="16838" w:h="11906" w:orient="landscape" w:code="9"/>
          <w:pgMar w:top="1843" w:right="1701" w:bottom="1418" w:left="1701" w:header="709" w:footer="709" w:gutter="0"/>
          <w:cols w:space="708"/>
          <w:docGrid w:linePitch="360"/>
        </w:sectPr>
      </w:pPr>
    </w:p>
    <w:p w:rsidR="00E659A9" w:rsidRPr="00461F9A" w:rsidRDefault="00E659A9" w:rsidP="00FB3620">
      <w:pPr>
        <w:pStyle w:val="METN"/>
      </w:pPr>
      <w:r w:rsidRPr="00461F9A">
        <w:lastRenderedPageBreak/>
        <w:t>Auralı migreni olan 19 olgunun diğer hastalara göre PCA ve MCA BHT parametrelerinde fark saptanmamıştır. Sadece faz-II’de PI auralı migreni olanlarda yükselme eğilimi göstermiştir (PCA için p=0,0</w:t>
      </w:r>
      <w:r w:rsidR="00FB3620">
        <w:t xml:space="preserve">57 MCA için p=0,053) (Tablo </w:t>
      </w:r>
      <w:proofErr w:type="gramStart"/>
      <w:r w:rsidR="00FB3620">
        <w:t>3.</w:t>
      </w:r>
      <w:r>
        <w:t>2</w:t>
      </w:r>
      <w:proofErr w:type="gramEnd"/>
      <w:r>
        <w:t>).</w:t>
      </w:r>
    </w:p>
    <w:p w:rsidR="00E659A9" w:rsidRPr="00461F9A" w:rsidRDefault="00E659A9" w:rsidP="00FB3620">
      <w:pPr>
        <w:pStyle w:val="METN"/>
      </w:pPr>
      <w:r w:rsidRPr="00461F9A">
        <w:t>PFO bulunan 26 olgunun PFO’su olmayan 30 kişi ile karşılaştırılmasında PCA BHT parametrelerinde farklılık saptanmamıştır. Ancak apne esnasında yüzde akım hızı artışının sayısal olarak düşük olduğu dikkati çekmiştir (%30’a %34). Bazal MCA pulsatilite indeksi PFO olanlarda hafif ama anlamlı derecede daha düşüktür (0,73±0,14’e 0,84±0,12</w:t>
      </w:r>
      <w:r>
        <w:t>;</w:t>
      </w:r>
      <w:r w:rsidRPr="00461F9A">
        <w:t xml:space="preserve"> p=0,014). Faz-II’de PFO olanlarda PI artışı (p=0,079) ve akım hızı azalma eğilimi (p=0,143) göstermiştir. Apne fazında akım hız artışı PFO olanlarda %7 daha azdır (p=0,037). PFO saptanan olgularda BHI daha düşük olmaya meyilli iken bu istatistiksel anlamlılık seviyesine ulaşmamıştır (p=158). İpsilateral ve kontrlateral için BHT parametrelerinde PFO varlığına</w:t>
      </w:r>
      <w:r w:rsidR="007259BF">
        <w:t xml:space="preserve"> göre değişiklik yoktur. (Tablo </w:t>
      </w:r>
      <w:proofErr w:type="gramStart"/>
      <w:r w:rsidR="007259BF">
        <w:t>3.3</w:t>
      </w:r>
      <w:proofErr w:type="gramEnd"/>
      <w:r w:rsidRPr="00461F9A">
        <w:t>)</w:t>
      </w:r>
    </w:p>
    <w:p w:rsidR="00E659A9" w:rsidRPr="00461F9A" w:rsidRDefault="00E659A9" w:rsidP="00FB3620">
      <w:pPr>
        <w:pStyle w:val="METN"/>
      </w:pPr>
      <w:r w:rsidRPr="00461F9A">
        <w:t>Bazal VMR için 6 grup üzerinden yapılan değerlendirmelerin sonucu Tablo-3’</w:t>
      </w:r>
      <w:r w:rsidRPr="000D034E">
        <w:t xml:space="preserve"> </w:t>
      </w:r>
      <w:r w:rsidRPr="003E78E7">
        <w:t>de verilmiştir</w:t>
      </w:r>
      <w:r w:rsidRPr="00461F9A">
        <w:t xml:space="preserve"> (so</w:t>
      </w:r>
      <w:r>
        <w:t>n</w:t>
      </w:r>
      <w:r w:rsidRPr="00461F9A">
        <w:t xml:space="preserve"> kolon AN</w:t>
      </w:r>
      <w:r>
        <w:t>OVA F değerlerini içermektedir)</w:t>
      </w:r>
      <w:r w:rsidRPr="00461F9A">
        <w:t xml:space="preserve">. PCA </w:t>
      </w:r>
      <w:r>
        <w:t>nefes tutma</w:t>
      </w:r>
      <w:r w:rsidRPr="00461F9A">
        <w:t xml:space="preserve"> ve HPV testi için PFO’su olmayan migr</w:t>
      </w:r>
      <w:r>
        <w:t>e</w:t>
      </w:r>
      <w:r w:rsidRPr="00461F9A">
        <w:t>nli gruplarda daha yüksek BHI d</w:t>
      </w:r>
      <w:r>
        <w:t>i</w:t>
      </w:r>
      <w:r w:rsidRPr="00461F9A">
        <w:t xml:space="preserve">kkati çekmekle birlikte gruplar arasında istatistiksel seviyede anlamlı olabilecek fark saptanmamıştır. MCA BHT analiz edildiğinde </w:t>
      </w:r>
      <w:r>
        <w:t>a</w:t>
      </w:r>
      <w:r w:rsidRPr="00461F9A">
        <w:t xml:space="preserve">pne’de akım hızı artışının sadece PFO olan grup-2’de diğer gruplardan daha düşük ve sadece aurasız migren olan Grup-3’de diğer gruplardan daha yüksek olduğu görülmüştür (F=2,562, p=0,039, Post </w:t>
      </w:r>
      <w:proofErr w:type="gramStart"/>
      <w:r w:rsidRPr="00461F9A">
        <w:t>hoc</w:t>
      </w:r>
      <w:proofErr w:type="gramEnd"/>
      <w:r w:rsidRPr="00461F9A">
        <w:t xml:space="preserve"> Dun</w:t>
      </w:r>
      <w:r>
        <w:t>nett</w:t>
      </w:r>
      <w:r w:rsidRPr="00461F9A">
        <w:t xml:space="preserve"> test). Benzer bulgu bekleneceği üzere apne ile oluşan yüzde artış için de tespit edilmiştir (F=3,532, p=0,008). BHI gruplar arasında PFO </w:t>
      </w:r>
      <w:r>
        <w:t>(+) olanlarda</w:t>
      </w:r>
      <w:r w:rsidRPr="00461F9A">
        <w:t xml:space="preserve"> daha düşük olma eğilimindedir (F=2,202, p=0,069).</w:t>
      </w:r>
      <w:r>
        <w:t xml:space="preserve"> BHİ </w:t>
      </w:r>
      <w:r w:rsidRPr="00461F9A">
        <w:t xml:space="preserve">PFO olan Grup 2’de 1,03; Migren+PFO olan Grup-4’de 1,07 (Oysa PFO olmayan migrenleri içeren </w:t>
      </w:r>
      <w:r>
        <w:t>G</w:t>
      </w:r>
      <w:r w:rsidRPr="00461F9A">
        <w:t>rup-3’de 1,43) ve Auralı migren+PFO olan Grup</w:t>
      </w:r>
      <w:r>
        <w:t>-</w:t>
      </w:r>
      <w:r w:rsidRPr="00461F9A">
        <w:t xml:space="preserve">6’da 1,01 (Oysa PFO olmayan Auralı migrenlilerin bulunduğu </w:t>
      </w:r>
      <w:r>
        <w:t>G</w:t>
      </w:r>
      <w:r w:rsidRPr="00461F9A">
        <w:t>rup-5’de 1,43)’dir. İpsilateral tarafta bu farklılık istatistiksel anlamlılığa ul</w:t>
      </w:r>
      <w:r>
        <w:t>aş</w:t>
      </w:r>
      <w:r w:rsidRPr="00461F9A">
        <w:t>maktadır (F=2,622, p=0,035). B</w:t>
      </w:r>
      <w:r>
        <w:t>una</w:t>
      </w:r>
      <w:r w:rsidRPr="00461F9A">
        <w:t xml:space="preserve"> göre PFO’suz migren (BHI: 1,35</w:t>
      </w:r>
      <w:r>
        <w:t xml:space="preserve"> </w:t>
      </w:r>
      <w:r w:rsidRPr="00461F9A">
        <w:t>±</w:t>
      </w:r>
      <w:r>
        <w:t xml:space="preserve"> </w:t>
      </w:r>
      <w:r w:rsidRPr="00461F9A">
        <w:t>0,33’e 1,12</w:t>
      </w:r>
      <w:r>
        <w:t xml:space="preserve"> </w:t>
      </w:r>
      <w:r w:rsidRPr="00461F9A">
        <w:t>±</w:t>
      </w:r>
      <w:r>
        <w:t xml:space="preserve"> </w:t>
      </w:r>
      <w:r w:rsidRPr="00461F9A">
        <w:t>0,95) ve PFO’suz auralı migrende (BHI: 1,46</w:t>
      </w:r>
      <w:r>
        <w:t xml:space="preserve"> </w:t>
      </w:r>
      <w:r w:rsidRPr="00461F9A">
        <w:lastRenderedPageBreak/>
        <w:t>±</w:t>
      </w:r>
      <w:r>
        <w:t xml:space="preserve"> </w:t>
      </w:r>
      <w:r w:rsidRPr="00461F9A">
        <w:t>0,5’e 0,94</w:t>
      </w:r>
      <w:r>
        <w:t xml:space="preserve"> </w:t>
      </w:r>
      <w:r w:rsidRPr="00461F9A">
        <w:t>±</w:t>
      </w:r>
      <w:r>
        <w:t xml:space="preserve"> </w:t>
      </w:r>
      <w:r w:rsidRPr="00461F9A">
        <w:t>0,43) PFO olanlara göre anlamlı derecede yüksek BHI saptanmıştır</w:t>
      </w:r>
      <w:r>
        <w:t xml:space="preserve"> (Tablo </w:t>
      </w:r>
      <w:proofErr w:type="gramStart"/>
      <w:r w:rsidR="00FB3620">
        <w:t>3.</w:t>
      </w:r>
      <w:r>
        <w:t>3</w:t>
      </w:r>
      <w:proofErr w:type="gramEnd"/>
      <w:r>
        <w:t>)</w:t>
      </w:r>
      <w:r w:rsidRPr="00461F9A">
        <w:t>.</w:t>
      </w:r>
    </w:p>
    <w:p w:rsidR="00E659A9" w:rsidRPr="00461F9A" w:rsidRDefault="00E659A9" w:rsidP="00FB3620">
      <w:pPr>
        <w:pStyle w:val="METN"/>
        <w:rPr>
          <w:szCs w:val="24"/>
        </w:rPr>
      </w:pPr>
      <w:r w:rsidRPr="00461F9A">
        <w:rPr>
          <w:szCs w:val="24"/>
        </w:rPr>
        <w:t>PFO varlığının migrendeki VMR’ye etkisi sadece migreni olan hasta grubunda ayrıca incelenmiştir (Tablo-4). Migreni olan 38 hastadan 20’sinde geniş PFO var</w:t>
      </w:r>
      <w:r>
        <w:rPr>
          <w:szCs w:val="24"/>
        </w:rPr>
        <w:t>dı</w:t>
      </w:r>
      <w:r w:rsidRPr="00461F9A">
        <w:rPr>
          <w:szCs w:val="24"/>
        </w:rPr>
        <w:t>.</w:t>
      </w:r>
    </w:p>
    <w:p w:rsidR="00E659A9" w:rsidRPr="00461F9A" w:rsidRDefault="00E659A9" w:rsidP="00FB3620">
      <w:pPr>
        <w:pStyle w:val="METN"/>
        <w:rPr>
          <w:szCs w:val="24"/>
        </w:rPr>
      </w:pPr>
      <w:r w:rsidRPr="00461F9A">
        <w:rPr>
          <w:szCs w:val="24"/>
        </w:rPr>
        <w:t>BHT esnasinda PCA Vmean % artisı PFO (+) ise 29±12 iken PFO (-) olanlarda 38±14’dür (p=0.051). Bazal PCA BHİ PFO (+) migrenlilerde PFO (-) migrenlilere göre daha düşük olmaya eğilimlidir (1,01±0,40 vs. 1,25±0,46, p=0,090). Bu eğilim ipsilateral PCA için daha belirgindir: Sırası ile ipsilateral vs. kontrlateral 0,96±0,42 vs. 1,23±0,44; p=0,191 ve 1,05±0,46</w:t>
      </w:r>
      <w:r w:rsidR="00FB3620">
        <w:rPr>
          <w:szCs w:val="24"/>
        </w:rPr>
        <w:t xml:space="preserve"> vs. 1,27±0,53; p=0,058. (Tablo </w:t>
      </w:r>
      <w:proofErr w:type="gramStart"/>
      <w:r w:rsidR="00FB3620">
        <w:rPr>
          <w:szCs w:val="24"/>
        </w:rPr>
        <w:t>3.</w:t>
      </w:r>
      <w:r w:rsidRPr="00461F9A">
        <w:rPr>
          <w:szCs w:val="24"/>
        </w:rPr>
        <w:t>4</w:t>
      </w:r>
      <w:proofErr w:type="gramEnd"/>
      <w:r w:rsidRPr="00461F9A">
        <w:rPr>
          <w:szCs w:val="24"/>
        </w:rPr>
        <w:t xml:space="preserve">). PCA için </w:t>
      </w:r>
      <w:r>
        <w:rPr>
          <w:szCs w:val="24"/>
        </w:rPr>
        <w:t>a</w:t>
      </w:r>
      <w:r w:rsidRPr="00461F9A">
        <w:rPr>
          <w:szCs w:val="24"/>
        </w:rPr>
        <w:t>pne esnasında faz 2 parametreleri açısından fark t</w:t>
      </w:r>
      <w:r>
        <w:rPr>
          <w:szCs w:val="24"/>
        </w:rPr>
        <w:t>e</w:t>
      </w:r>
      <w:r w:rsidRPr="00461F9A">
        <w:rPr>
          <w:szCs w:val="24"/>
        </w:rPr>
        <w:t>spit edilmemiştir.</w:t>
      </w:r>
    </w:p>
    <w:p w:rsidR="00E659A9" w:rsidRPr="00461F9A" w:rsidRDefault="00E659A9" w:rsidP="00FB3620">
      <w:pPr>
        <w:pStyle w:val="METN"/>
        <w:rPr>
          <w:szCs w:val="24"/>
        </w:rPr>
      </w:pPr>
      <w:r w:rsidRPr="00461F9A">
        <w:rPr>
          <w:szCs w:val="24"/>
        </w:rPr>
        <w:t>BHT esnasında MCA Vmean % artışı PFO (+) ise 28±14 iken PFO (-) olanlarda 41±10 bulundu (P=0.002). MCA BHİ PFO (+) migrenlilerde PFO (-) migrenlilere göre anlamlı ve belirgin olarak daha düşüktür: (1,04</w:t>
      </w:r>
      <w:r>
        <w:rPr>
          <w:szCs w:val="24"/>
        </w:rPr>
        <w:t xml:space="preserve"> </w:t>
      </w:r>
      <w:r w:rsidRPr="00461F9A">
        <w:rPr>
          <w:szCs w:val="24"/>
        </w:rPr>
        <w:t>±</w:t>
      </w:r>
      <w:r>
        <w:rPr>
          <w:szCs w:val="24"/>
        </w:rPr>
        <w:t xml:space="preserve"> </w:t>
      </w:r>
      <w:r w:rsidRPr="00461F9A">
        <w:rPr>
          <w:szCs w:val="24"/>
        </w:rPr>
        <w:t>0,67 vs. 1,43</w:t>
      </w:r>
      <w:r>
        <w:rPr>
          <w:szCs w:val="24"/>
        </w:rPr>
        <w:t xml:space="preserve"> </w:t>
      </w:r>
      <w:r w:rsidRPr="00461F9A">
        <w:rPr>
          <w:szCs w:val="24"/>
        </w:rPr>
        <w:t>±</w:t>
      </w:r>
      <w:r>
        <w:rPr>
          <w:szCs w:val="24"/>
        </w:rPr>
        <w:t xml:space="preserve"> </w:t>
      </w:r>
      <w:r w:rsidRPr="00461F9A">
        <w:rPr>
          <w:szCs w:val="24"/>
        </w:rPr>
        <w:t>0,39, p=0,032). Bu düşüklük kontrlateral hemiferde daha fazla olmaya eğilimlidir. İpsilateral hemisferde fark (MCA BHI</w:t>
      </w:r>
      <w:r>
        <w:rPr>
          <w:szCs w:val="24"/>
        </w:rPr>
        <w:t>:</w:t>
      </w:r>
      <w:r w:rsidRPr="00461F9A">
        <w:rPr>
          <w:szCs w:val="24"/>
        </w:rPr>
        <w:t xml:space="preserve"> PFO (+) ise 1,03</w:t>
      </w:r>
      <w:r>
        <w:rPr>
          <w:szCs w:val="24"/>
        </w:rPr>
        <w:t xml:space="preserve"> </w:t>
      </w:r>
      <w:r w:rsidRPr="00461F9A">
        <w:rPr>
          <w:szCs w:val="24"/>
        </w:rPr>
        <w:t>±</w:t>
      </w:r>
      <w:r>
        <w:rPr>
          <w:szCs w:val="24"/>
        </w:rPr>
        <w:t xml:space="preserve"> </w:t>
      </w:r>
      <w:r w:rsidRPr="00461F9A">
        <w:rPr>
          <w:szCs w:val="24"/>
        </w:rPr>
        <w:t>0,72 ve PFO (-) ise 1,41</w:t>
      </w:r>
      <w:r>
        <w:rPr>
          <w:szCs w:val="24"/>
        </w:rPr>
        <w:t xml:space="preserve"> </w:t>
      </w:r>
      <w:r w:rsidRPr="00461F9A">
        <w:rPr>
          <w:szCs w:val="24"/>
        </w:rPr>
        <w:t>±</w:t>
      </w:r>
      <w:r>
        <w:rPr>
          <w:szCs w:val="24"/>
        </w:rPr>
        <w:t xml:space="preserve"> </w:t>
      </w:r>
      <w:r w:rsidRPr="00461F9A">
        <w:rPr>
          <w:szCs w:val="24"/>
        </w:rPr>
        <w:t xml:space="preserve">0,42; p=0,056) bir </w:t>
      </w:r>
      <w:proofErr w:type="gramStart"/>
      <w:r w:rsidRPr="00461F9A">
        <w:rPr>
          <w:szCs w:val="24"/>
        </w:rPr>
        <w:t>trend</w:t>
      </w:r>
      <w:proofErr w:type="gramEnd"/>
      <w:r w:rsidRPr="00461F9A">
        <w:rPr>
          <w:szCs w:val="24"/>
        </w:rPr>
        <w:t xml:space="preserve"> işaret etmekle birlikte kontrlateralde istatistiksel olarak anlamlılık düzeyine çıkabilmiştir (MCA BHI</w:t>
      </w:r>
      <w:r>
        <w:rPr>
          <w:szCs w:val="24"/>
        </w:rPr>
        <w:t>:</w:t>
      </w:r>
      <w:r w:rsidRPr="00461F9A">
        <w:rPr>
          <w:szCs w:val="24"/>
        </w:rPr>
        <w:t xml:space="preserve"> PFO (+) ise 1,04</w:t>
      </w:r>
      <w:r>
        <w:rPr>
          <w:szCs w:val="24"/>
        </w:rPr>
        <w:t xml:space="preserve"> </w:t>
      </w:r>
      <w:r w:rsidRPr="00461F9A">
        <w:rPr>
          <w:szCs w:val="24"/>
        </w:rPr>
        <w:t>±</w:t>
      </w:r>
      <w:r>
        <w:rPr>
          <w:szCs w:val="24"/>
        </w:rPr>
        <w:t xml:space="preserve"> </w:t>
      </w:r>
      <w:r w:rsidRPr="00461F9A">
        <w:rPr>
          <w:szCs w:val="24"/>
        </w:rPr>
        <w:t>0,64 ve. PFO (-) ise 1,45</w:t>
      </w:r>
      <w:r>
        <w:rPr>
          <w:szCs w:val="24"/>
        </w:rPr>
        <w:t xml:space="preserve"> </w:t>
      </w:r>
      <w:r w:rsidRPr="00461F9A">
        <w:rPr>
          <w:szCs w:val="24"/>
        </w:rPr>
        <w:t>±</w:t>
      </w:r>
      <w:r>
        <w:rPr>
          <w:szCs w:val="24"/>
        </w:rPr>
        <w:t xml:space="preserve"> </w:t>
      </w:r>
      <w:r w:rsidRPr="00461F9A">
        <w:rPr>
          <w:szCs w:val="24"/>
        </w:rPr>
        <w:t>0,28; p=0,023</w:t>
      </w:r>
      <w:proofErr w:type="gramStart"/>
      <w:r w:rsidRPr="00461F9A">
        <w:rPr>
          <w:szCs w:val="24"/>
        </w:rPr>
        <w:t>)</w:t>
      </w:r>
      <w:proofErr w:type="gramEnd"/>
      <w:r w:rsidRPr="00461F9A">
        <w:rPr>
          <w:szCs w:val="24"/>
        </w:rPr>
        <w:t xml:space="preserve">. MCA BHT faz-2’de migrenli olgularda PFO yok ise pulsatilite artışı daha fazla (p=0.068) olmaya eğilimidir. Akım hızı azalması 1 saniye daha hızlı olarak </w:t>
      </w:r>
      <w:r>
        <w:rPr>
          <w:szCs w:val="24"/>
        </w:rPr>
        <w:t>plato</w:t>
      </w:r>
      <w:r w:rsidRPr="00461F9A">
        <w:rPr>
          <w:szCs w:val="24"/>
        </w:rPr>
        <w:t>ya varmıştır (p=0,298).</w:t>
      </w:r>
    </w:p>
    <w:p w:rsidR="00E659A9" w:rsidRPr="00461F9A" w:rsidRDefault="00E659A9" w:rsidP="00FB3620">
      <w:pPr>
        <w:pStyle w:val="Balk3"/>
      </w:pPr>
      <w:bookmarkStart w:id="41" w:name="_Toc492677351"/>
      <w:r>
        <w:t xml:space="preserve">3.2.2. </w:t>
      </w:r>
      <w:r w:rsidRPr="00461F9A">
        <w:t>Hiperventilasyon</w:t>
      </w:r>
      <w:bookmarkEnd w:id="41"/>
    </w:p>
    <w:p w:rsidR="00E659A9" w:rsidRPr="00461F9A" w:rsidRDefault="00E659A9" w:rsidP="00FB3620">
      <w:pPr>
        <w:pStyle w:val="METN"/>
      </w:pPr>
      <w:r w:rsidRPr="00461F9A">
        <w:t>Migrenli olgularda HPV ile PCA ve MCA akım hızında nümerik olarak daha fazla azalma ve pulsatilite indeksinde daha fazla artış olmaktadır. Bu tren</w:t>
      </w:r>
      <w:r>
        <w:t>d</w:t>
      </w:r>
      <w:r w:rsidRPr="00461F9A">
        <w:t>lerden sadece PCA için kontrlateral hemisferdeki hiperventilasyon ile akım hızı azalışı anlamlılığa ulaşmış (p=0,048) iken MCA için pulsatilite artışı ipsilateral hemisferde daha belirgin olarak migrenlilerde daha fazla (p=0,05) ve daha hızlı (yaklaşık 2 saniye erken</w:t>
      </w:r>
      <w:r w:rsidR="00FB3620">
        <w:t xml:space="preserve">, p=0,053) eğilimindedir (Tablo </w:t>
      </w:r>
      <w:proofErr w:type="gramStart"/>
      <w:r w:rsidR="00FB3620">
        <w:t>3.</w:t>
      </w:r>
      <w:r w:rsidRPr="00461F9A">
        <w:t>2</w:t>
      </w:r>
      <w:proofErr w:type="gramEnd"/>
      <w:r w:rsidRPr="00461F9A">
        <w:t>).</w:t>
      </w:r>
    </w:p>
    <w:p w:rsidR="00E659A9" w:rsidRPr="00461F9A" w:rsidRDefault="00E659A9" w:rsidP="00FB3620">
      <w:pPr>
        <w:pStyle w:val="METN"/>
      </w:pPr>
      <w:r w:rsidRPr="00461F9A">
        <w:t>Aralı migren olgularında PCA ve MCA HPV parametrelerinde fark saptanma</w:t>
      </w:r>
      <w:r>
        <w:t>mıştır</w:t>
      </w:r>
      <w:r w:rsidRPr="00461F9A">
        <w:t xml:space="preserve"> (Tablo</w:t>
      </w:r>
      <w:r w:rsidR="00FB3620">
        <w:t xml:space="preserve"> </w:t>
      </w:r>
      <w:proofErr w:type="gramStart"/>
      <w:r w:rsidR="00FB3620">
        <w:t>3.</w:t>
      </w:r>
      <w:r w:rsidRPr="00461F9A">
        <w:t>2</w:t>
      </w:r>
      <w:proofErr w:type="gramEnd"/>
      <w:r w:rsidRPr="00461F9A">
        <w:t>).</w:t>
      </w:r>
    </w:p>
    <w:p w:rsidR="00E659A9" w:rsidRPr="00461F9A" w:rsidRDefault="00E659A9" w:rsidP="00FB3620">
      <w:pPr>
        <w:pStyle w:val="METN"/>
      </w:pPr>
      <w:r w:rsidRPr="00461F9A">
        <w:lastRenderedPageBreak/>
        <w:t>PFO saptanan bireylerde ipsilateral PCA’da hiperve</w:t>
      </w:r>
      <w:r>
        <w:t>n</w:t>
      </w:r>
      <w:r w:rsidRPr="00461F9A">
        <w:t>tilasy</w:t>
      </w:r>
      <w:r>
        <w:t>o</w:t>
      </w:r>
      <w:r w:rsidRPr="00461F9A">
        <w:t xml:space="preserve">n ile platoya ulaşma zamanı hafif derecede kısa bulunmuştur (p=0,038), diğer PCA HPV parametreleri ve MCA açısından PFO olup olmamasına göre fark yoktur. (Tablo </w:t>
      </w:r>
      <w:proofErr w:type="gramStart"/>
      <w:r w:rsidR="00FB3620">
        <w:t>3.</w:t>
      </w:r>
      <w:r w:rsidRPr="00461F9A">
        <w:t>2</w:t>
      </w:r>
      <w:proofErr w:type="gramEnd"/>
      <w:r w:rsidRPr="00461F9A">
        <w:t>).</w:t>
      </w:r>
    </w:p>
    <w:p w:rsidR="00E659A9" w:rsidRPr="00461F9A" w:rsidRDefault="00E659A9" w:rsidP="00FB3620">
      <w:pPr>
        <w:pStyle w:val="METN"/>
      </w:pPr>
      <w:r w:rsidRPr="00461F9A">
        <w:t xml:space="preserve">Bazal vazokonstriktif (HPV) VMR için 6 grup üzerinden yapılan değerlendirmelerin sonucu da Tablo-3’ (sol kolon ANOVA F değerlerini içermektedir) de verilmiştir. Platoya ulaşma zamanı ve azalma derecesi açısından </w:t>
      </w:r>
      <w:r>
        <w:t xml:space="preserve">gruplar arasında </w:t>
      </w:r>
      <w:r w:rsidRPr="00461F9A">
        <w:t>belirgin fark saptanmamıştır.</w:t>
      </w:r>
    </w:p>
    <w:p w:rsidR="00E659A9" w:rsidRPr="00461F9A" w:rsidRDefault="00E659A9" w:rsidP="00FB3620">
      <w:pPr>
        <w:pStyle w:val="METN"/>
      </w:pPr>
      <w:r w:rsidRPr="00461F9A">
        <w:t>Sadece migrenli hasta grubunda analiz tekrarlandığında migrenli olgularda PCA ve MCA HPV parametreleri PFO statusuna göre değişme</w:t>
      </w:r>
      <w:r>
        <w:t>diği</w:t>
      </w:r>
      <w:r w:rsidRPr="00461F9A">
        <w:t xml:space="preserve"> bulunmuştur (Tablo-4).</w:t>
      </w:r>
    </w:p>
    <w:p w:rsidR="00E659A9" w:rsidRPr="00461F9A" w:rsidRDefault="00E659A9" w:rsidP="00FB3620">
      <w:pPr>
        <w:pStyle w:val="Balk3"/>
      </w:pPr>
      <w:bookmarkStart w:id="42" w:name="_Toc492677352"/>
      <w:r>
        <w:t xml:space="preserve">3.2.3. </w:t>
      </w:r>
      <w:r w:rsidRPr="00461F9A">
        <w:t>Diğer parametrelerin VMR-PFO ile ilişkisi</w:t>
      </w:r>
      <w:bookmarkEnd w:id="42"/>
    </w:p>
    <w:p w:rsidR="00E659A9" w:rsidRPr="00461F9A" w:rsidRDefault="00E659A9" w:rsidP="00FB3620">
      <w:pPr>
        <w:pStyle w:val="METN"/>
      </w:pPr>
      <w:r w:rsidRPr="00461F9A">
        <w:t xml:space="preserve">Çalışmaya </w:t>
      </w:r>
      <w:proofErr w:type="gramStart"/>
      <w:r w:rsidRPr="00461F9A">
        <w:t>dahil</w:t>
      </w:r>
      <w:proofErr w:type="gramEnd"/>
      <w:r w:rsidRPr="00461F9A">
        <w:t xml:space="preserve"> edile</w:t>
      </w:r>
      <w:r>
        <w:t>n</w:t>
      </w:r>
      <w:r w:rsidRPr="00461F9A">
        <w:t xml:space="preserve"> olgulardan 30 (</w:t>
      </w:r>
      <w:r>
        <w:t>%</w:t>
      </w:r>
      <w:r w:rsidRPr="00461F9A">
        <w:t xml:space="preserve">54)’unda beyin MRG mevcut olup bunlardan 15’inde iskemik lezyon saptanmıştır. İskemik </w:t>
      </w:r>
      <w:r>
        <w:t>l</w:t>
      </w:r>
      <w:r w:rsidRPr="00461F9A">
        <w:t>ezyon olan olgular</w:t>
      </w:r>
      <w:r>
        <w:t>,</w:t>
      </w:r>
      <w:r w:rsidRPr="00461F9A">
        <w:t xml:space="preserve"> olmayanlar ile karşılaştırıldığında MCA BHİ (1,34</w:t>
      </w:r>
      <w:r>
        <w:t xml:space="preserve"> </w:t>
      </w:r>
      <w:r w:rsidRPr="00461F9A">
        <w:t>±</w:t>
      </w:r>
      <w:r>
        <w:t xml:space="preserve"> </w:t>
      </w:r>
      <w:r w:rsidRPr="00461F9A">
        <w:t>0,73 vs. 1,14</w:t>
      </w:r>
      <w:r>
        <w:t xml:space="preserve"> </w:t>
      </w:r>
      <w:r w:rsidRPr="00461F9A">
        <w:t>±</w:t>
      </w:r>
      <w:r>
        <w:t xml:space="preserve"> </w:t>
      </w:r>
      <w:r w:rsidRPr="00461F9A">
        <w:t>0,35; p=0,328), PCA BHİ (1,06</w:t>
      </w:r>
      <w:r>
        <w:t xml:space="preserve"> </w:t>
      </w:r>
      <w:r w:rsidRPr="00461F9A">
        <w:t>±</w:t>
      </w:r>
      <w:r>
        <w:t xml:space="preserve"> </w:t>
      </w:r>
      <w:r w:rsidRPr="00461F9A">
        <w:t>0,43 vs. 1,13</w:t>
      </w:r>
      <w:r>
        <w:t xml:space="preserve"> </w:t>
      </w:r>
      <w:r w:rsidRPr="003E78E7">
        <w:t>±</w:t>
      </w:r>
      <w:r>
        <w:t xml:space="preserve"> </w:t>
      </w:r>
      <w:r w:rsidRPr="00461F9A">
        <w:t>0,42; p=0,634), BHT faz-2 dip yanıtının MCA (%8,7</w:t>
      </w:r>
      <w:r>
        <w:t xml:space="preserve"> </w:t>
      </w:r>
      <w:r w:rsidRPr="00461F9A">
        <w:t>±</w:t>
      </w:r>
      <w:r>
        <w:t xml:space="preserve"> 11,1 </w:t>
      </w:r>
      <w:r w:rsidRPr="00461F9A">
        <w:t>vs. %9,6</w:t>
      </w:r>
      <w:r>
        <w:t xml:space="preserve"> </w:t>
      </w:r>
      <w:r w:rsidRPr="00461F9A">
        <w:t>±</w:t>
      </w:r>
      <w:r>
        <w:t xml:space="preserve"> </w:t>
      </w:r>
      <w:r w:rsidRPr="00461F9A">
        <w:t>8,9; p=0,815) ve PCA (%10,0</w:t>
      </w:r>
      <w:r>
        <w:t xml:space="preserve"> </w:t>
      </w:r>
      <w:r w:rsidRPr="00461F9A">
        <w:t>±</w:t>
      </w:r>
      <w:r>
        <w:t xml:space="preserve"> </w:t>
      </w:r>
      <w:r w:rsidRPr="00461F9A">
        <w:t>11,2 vs. %8,1</w:t>
      </w:r>
      <w:r>
        <w:t xml:space="preserve"> </w:t>
      </w:r>
      <w:r w:rsidRPr="00461F9A">
        <w:t>±</w:t>
      </w:r>
      <w:r>
        <w:t xml:space="preserve"> </w:t>
      </w:r>
      <w:r w:rsidRPr="00461F9A">
        <w:t>10,2; p=0,679) için amplitüdü ve hiperventilasyon platoya düşme yüzdesi (MCA: %27</w:t>
      </w:r>
      <w:r>
        <w:t xml:space="preserve"> </w:t>
      </w:r>
      <w:r w:rsidRPr="00461F9A">
        <w:t>±</w:t>
      </w:r>
      <w:r>
        <w:t xml:space="preserve"> </w:t>
      </w:r>
      <w:r w:rsidRPr="00461F9A">
        <w:t>9 vs. %27</w:t>
      </w:r>
      <w:r>
        <w:t xml:space="preserve"> </w:t>
      </w:r>
      <w:r w:rsidRPr="00461F9A">
        <w:t>±</w:t>
      </w:r>
      <w:r>
        <w:t xml:space="preserve"> </w:t>
      </w:r>
      <w:r w:rsidRPr="00461F9A">
        <w:t>10; p=0,938 ve PCA: %30</w:t>
      </w:r>
      <w:r>
        <w:t xml:space="preserve"> </w:t>
      </w:r>
      <w:r w:rsidRPr="00461F9A">
        <w:t>±</w:t>
      </w:r>
      <w:r>
        <w:t xml:space="preserve"> </w:t>
      </w:r>
      <w:r w:rsidRPr="00461F9A">
        <w:t>8 vs. %36</w:t>
      </w:r>
      <w:r>
        <w:t xml:space="preserve"> </w:t>
      </w:r>
      <w:r w:rsidRPr="00461F9A">
        <w:t>±</w:t>
      </w:r>
      <w:r>
        <w:t xml:space="preserve"> 8, p=0,523) </w:t>
      </w:r>
      <w:r w:rsidRPr="00461F9A">
        <w:t xml:space="preserve">farksızdır. PFO olan olgularda lezyon oranı daha fazla olmakla birlikte bu tamamen hasta seçimi ile ilgili görünmektedir. </w:t>
      </w:r>
      <w:r>
        <w:t>3</w:t>
      </w:r>
      <w:r w:rsidRPr="00461F9A">
        <w:t>0 MRG olan olgudan PF</w:t>
      </w:r>
      <w:r>
        <w:t>O</w:t>
      </w:r>
      <w:r w:rsidRPr="00461F9A">
        <w:t xml:space="preserve"> saptanan 12’sinin %75’inde iskemik lezyon varken PFO olmayan 18 olgudan sadece %33’ünde </w:t>
      </w:r>
      <w:r>
        <w:t>l</w:t>
      </w:r>
      <w:r w:rsidRPr="00461F9A">
        <w:t xml:space="preserve">ezyon vardır (p=0,030, </w:t>
      </w:r>
      <w:r>
        <w:t>E</w:t>
      </w:r>
      <w:r w:rsidRPr="00461F9A">
        <w:t>xact test). MRG yapılmış olan m</w:t>
      </w:r>
      <w:r>
        <w:t>i</w:t>
      </w:r>
      <w:r w:rsidRPr="00461F9A">
        <w:t>grenli olgular ele alındığında ise PF</w:t>
      </w:r>
      <w:r>
        <w:t>O</w:t>
      </w:r>
      <w:r w:rsidRPr="00461F9A">
        <w:t xml:space="preserve"> olan 11’inin %73’ünde ve PF</w:t>
      </w:r>
      <w:r>
        <w:t>O</w:t>
      </w:r>
      <w:r w:rsidRPr="00461F9A">
        <w:t xml:space="preserve"> olmayan 12’sinin %50’sinde lezyon </w:t>
      </w:r>
      <w:r>
        <w:t>bulunmuştur</w:t>
      </w:r>
      <w:r w:rsidRPr="00461F9A">
        <w:t xml:space="preserve"> (P=0,24, </w:t>
      </w:r>
      <w:r>
        <w:t>Ex</w:t>
      </w:r>
      <w:r w:rsidRPr="00461F9A">
        <w:t xml:space="preserve">act test). </w:t>
      </w:r>
    </w:p>
    <w:p w:rsidR="00E659A9" w:rsidRPr="00461F9A" w:rsidRDefault="00E659A9" w:rsidP="00FB3620">
      <w:pPr>
        <w:pStyle w:val="METN"/>
      </w:pPr>
      <w:r w:rsidRPr="00461F9A">
        <w:t xml:space="preserve">PCA BHI migren süresi (r=-0,199; p=0,232), MIDAS skoru (r=0,103; p=0,538), MTAQ </w:t>
      </w:r>
      <w:r>
        <w:t>p</w:t>
      </w:r>
      <w:r w:rsidRPr="00461F9A">
        <w:t xml:space="preserve">uanı (r=0,061; </w:t>
      </w:r>
      <w:r>
        <w:t>p</w:t>
      </w:r>
      <w:r w:rsidRPr="00461F9A">
        <w:t>=</w:t>
      </w:r>
      <w:r>
        <w:t>0,</w:t>
      </w:r>
      <w:r w:rsidRPr="00461F9A">
        <w:t xml:space="preserve">715) ve HIT-6 skoru (r=0,158, p=0,351) ile </w:t>
      </w:r>
      <w:proofErr w:type="gramStart"/>
      <w:r w:rsidRPr="00461F9A">
        <w:t>korelasyon</w:t>
      </w:r>
      <w:proofErr w:type="gramEnd"/>
      <w:r w:rsidRPr="00461F9A">
        <w:t xml:space="preserve"> göstermemektedir. HPV yanıtı ile migren süresi (r=-0,017, p=0,918), MIDAS skoru (r=-0,042, p=0,803), MTAQ puanı (r=-0,129, p=0,440) ve HIT-6 skoru (r=0,084, p=0,622) arasında da </w:t>
      </w:r>
      <w:proofErr w:type="gramStart"/>
      <w:r w:rsidRPr="00461F9A">
        <w:t>korelasyon</w:t>
      </w:r>
      <w:proofErr w:type="gramEnd"/>
      <w:r w:rsidRPr="00461F9A">
        <w:t xml:space="preserve"> saptanmamıştır. </w:t>
      </w:r>
    </w:p>
    <w:p w:rsidR="00E659A9" w:rsidRDefault="00E659A9" w:rsidP="00FB3620">
      <w:pPr>
        <w:pStyle w:val="METN"/>
      </w:pPr>
      <w:r w:rsidRPr="00461F9A">
        <w:lastRenderedPageBreak/>
        <w:t xml:space="preserve">Benzer şekilde MCA BHI migren süresi (r=-0,019, p=0,911), MIDAS skoru (r=-0,009, p=0,959), MTAQ puanı (r=-0,004, p=0,980) ve HIT-6 skoru (r=-0,919, p=0,911) ile </w:t>
      </w:r>
      <w:proofErr w:type="gramStart"/>
      <w:r w:rsidRPr="00461F9A">
        <w:t>korelasyon</w:t>
      </w:r>
      <w:proofErr w:type="gramEnd"/>
      <w:r w:rsidRPr="00461F9A">
        <w:t xml:space="preserve"> göstermemektedir. HPV yanıtı ile migren süresi (r=-0,243, p=0,142), MIDAS skoru (r=0,171, p=0,304), MTAQ puanı (r=0,085, p=0,613) ve HIT-6 skoru (r=0,436, p=0,007) arasında da </w:t>
      </w:r>
      <w:proofErr w:type="gramStart"/>
      <w:r w:rsidRPr="00461F9A">
        <w:t>korelasyon</w:t>
      </w:r>
      <w:proofErr w:type="gramEnd"/>
      <w:r w:rsidRPr="00461F9A">
        <w:t xml:space="preserve"> (p&lt;0,001) saptanmamıştır.</w:t>
      </w:r>
    </w:p>
    <w:p w:rsidR="00FB3620" w:rsidRDefault="00FB3620">
      <w:pPr>
        <w:rPr>
          <w:rFonts w:ascii="Arial" w:hAnsi="Arial" w:cs="Arial"/>
          <w:sz w:val="24"/>
          <w:szCs w:val="24"/>
        </w:rPr>
        <w:sectPr w:rsidR="00FB3620" w:rsidSect="00AC3AB1">
          <w:pgSz w:w="11906" w:h="16838" w:code="9"/>
          <w:pgMar w:top="1701" w:right="1418" w:bottom="1701" w:left="2268" w:header="709" w:footer="709" w:gutter="0"/>
          <w:cols w:space="708"/>
          <w:docGrid w:linePitch="360"/>
        </w:sectPr>
      </w:pPr>
    </w:p>
    <w:p w:rsidR="00E659A9" w:rsidRPr="00461F9A" w:rsidRDefault="00E659A9" w:rsidP="00FB3620">
      <w:pPr>
        <w:pStyle w:val="Tablolar6"/>
        <w:spacing w:before="0"/>
      </w:pPr>
      <w:bookmarkStart w:id="43" w:name="_Toc492677368"/>
      <w:r w:rsidRPr="00461F9A">
        <w:lastRenderedPageBreak/>
        <w:t xml:space="preserve">Tablo </w:t>
      </w:r>
      <w:proofErr w:type="gramStart"/>
      <w:r w:rsidR="00FB3620">
        <w:t>3.3</w:t>
      </w:r>
      <w:proofErr w:type="gramEnd"/>
      <w:r w:rsidR="00FB3620">
        <w:t xml:space="preserve">. </w:t>
      </w:r>
      <w:r w:rsidRPr="00FB3620">
        <w:rPr>
          <w:b w:val="0"/>
        </w:rPr>
        <w:t>Bazal VMR II</w:t>
      </w:r>
      <w:bookmarkEnd w:id="43"/>
    </w:p>
    <w:tbl>
      <w:tblPr>
        <w:tblStyle w:val="TabloKlavuzu"/>
        <w:tblW w:w="5000" w:type="pct"/>
        <w:tblLook w:val="04A0" w:firstRow="1" w:lastRow="0" w:firstColumn="1" w:lastColumn="0" w:noHBand="0" w:noVBand="1"/>
      </w:tblPr>
      <w:tblGrid>
        <w:gridCol w:w="2280"/>
        <w:gridCol w:w="1761"/>
        <w:gridCol w:w="1670"/>
        <w:gridCol w:w="1614"/>
        <w:gridCol w:w="1614"/>
        <w:gridCol w:w="1614"/>
        <w:gridCol w:w="1665"/>
        <w:gridCol w:w="1208"/>
      </w:tblGrid>
      <w:tr w:rsidR="00E659A9" w:rsidRPr="00FB3620" w:rsidTr="00DF11CD">
        <w:tc>
          <w:tcPr>
            <w:tcW w:w="849" w:type="pct"/>
            <w:shd w:val="clear" w:color="auto" w:fill="auto"/>
          </w:tcPr>
          <w:p w:rsidR="00E659A9" w:rsidRPr="00FB3620" w:rsidRDefault="00E659A9" w:rsidP="001731FC">
            <w:pPr>
              <w:rPr>
                <w:rFonts w:ascii="Arial" w:hAnsi="Arial" w:cs="Arial"/>
                <w:b/>
                <w:sz w:val="20"/>
                <w:szCs w:val="20"/>
              </w:rPr>
            </w:pPr>
            <w:r w:rsidRPr="00FB3620">
              <w:rPr>
                <w:rFonts w:ascii="Arial" w:hAnsi="Arial" w:cs="Arial"/>
                <w:b/>
                <w:sz w:val="20"/>
                <w:szCs w:val="20"/>
              </w:rPr>
              <w:t>Grup</w:t>
            </w:r>
          </w:p>
        </w:tc>
        <w:tc>
          <w:tcPr>
            <w:tcW w:w="656"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1</w:t>
            </w:r>
          </w:p>
        </w:tc>
        <w:tc>
          <w:tcPr>
            <w:tcW w:w="622"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2</w:t>
            </w:r>
          </w:p>
        </w:tc>
        <w:tc>
          <w:tcPr>
            <w:tcW w:w="601"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3</w:t>
            </w:r>
          </w:p>
        </w:tc>
        <w:tc>
          <w:tcPr>
            <w:tcW w:w="601"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4</w:t>
            </w:r>
          </w:p>
        </w:tc>
        <w:tc>
          <w:tcPr>
            <w:tcW w:w="601"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5</w:t>
            </w:r>
          </w:p>
        </w:tc>
        <w:tc>
          <w:tcPr>
            <w:tcW w:w="620" w:type="pct"/>
            <w:shd w:val="clear" w:color="auto" w:fill="auto"/>
          </w:tcPr>
          <w:p w:rsidR="00E659A9" w:rsidRPr="00FB3620" w:rsidRDefault="00E659A9" w:rsidP="001731FC">
            <w:pPr>
              <w:jc w:val="center"/>
              <w:rPr>
                <w:rFonts w:ascii="Arial" w:hAnsi="Arial" w:cs="Arial"/>
                <w:b/>
                <w:sz w:val="20"/>
                <w:szCs w:val="20"/>
              </w:rPr>
            </w:pPr>
            <w:r w:rsidRPr="00FB3620">
              <w:rPr>
                <w:rFonts w:ascii="Arial" w:hAnsi="Arial" w:cs="Arial"/>
                <w:b/>
                <w:sz w:val="20"/>
                <w:szCs w:val="20"/>
              </w:rPr>
              <w:t>6</w:t>
            </w:r>
          </w:p>
        </w:tc>
        <w:tc>
          <w:tcPr>
            <w:tcW w:w="450" w:type="pct"/>
            <w:shd w:val="clear" w:color="auto" w:fill="auto"/>
          </w:tcPr>
          <w:p w:rsidR="00E659A9" w:rsidRPr="00FB3620" w:rsidRDefault="00E659A9" w:rsidP="001731FC">
            <w:pPr>
              <w:jc w:val="center"/>
              <w:rPr>
                <w:rFonts w:ascii="Arial" w:hAnsi="Arial" w:cs="Arial"/>
                <w:b/>
                <w:sz w:val="20"/>
                <w:szCs w:val="20"/>
              </w:rPr>
            </w:pPr>
          </w:p>
        </w:tc>
      </w:tr>
      <w:tr w:rsidR="00E659A9" w:rsidRPr="00FB3620" w:rsidTr="00DF11CD">
        <w:tc>
          <w:tcPr>
            <w:tcW w:w="849" w:type="pct"/>
            <w:shd w:val="clear" w:color="auto" w:fill="auto"/>
          </w:tcPr>
          <w:p w:rsidR="00E659A9" w:rsidRPr="00FB3620" w:rsidRDefault="00E659A9" w:rsidP="001731FC">
            <w:pPr>
              <w:rPr>
                <w:rFonts w:ascii="Arial" w:hAnsi="Arial" w:cs="Arial"/>
                <w:sz w:val="18"/>
                <w:szCs w:val="18"/>
              </w:rPr>
            </w:pPr>
            <w:r w:rsidRPr="00FB3620">
              <w:rPr>
                <w:rFonts w:ascii="Arial" w:hAnsi="Arial" w:cs="Arial"/>
                <w:sz w:val="18"/>
                <w:szCs w:val="18"/>
              </w:rPr>
              <w:t>Migren</w:t>
            </w:r>
          </w:p>
        </w:tc>
        <w:tc>
          <w:tcPr>
            <w:tcW w:w="656"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20"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E659A9" w:rsidRPr="00FB3620" w:rsidRDefault="00E659A9" w:rsidP="001731FC">
            <w:pPr>
              <w:jc w:val="center"/>
              <w:rPr>
                <w:rFonts w:ascii="Arial" w:hAnsi="Arial" w:cs="Arial"/>
                <w:sz w:val="18"/>
                <w:szCs w:val="18"/>
              </w:rPr>
            </w:pPr>
          </w:p>
        </w:tc>
      </w:tr>
      <w:tr w:rsidR="00E659A9" w:rsidRPr="00FB3620" w:rsidTr="00DF11CD">
        <w:tc>
          <w:tcPr>
            <w:tcW w:w="849" w:type="pct"/>
            <w:shd w:val="clear" w:color="auto" w:fill="auto"/>
          </w:tcPr>
          <w:p w:rsidR="00E659A9" w:rsidRPr="00FB3620" w:rsidRDefault="00E659A9" w:rsidP="001731FC">
            <w:pPr>
              <w:rPr>
                <w:rFonts w:ascii="Arial" w:hAnsi="Arial" w:cs="Arial"/>
                <w:sz w:val="18"/>
                <w:szCs w:val="18"/>
              </w:rPr>
            </w:pPr>
            <w:r w:rsidRPr="00FB3620">
              <w:rPr>
                <w:rFonts w:ascii="Arial" w:hAnsi="Arial" w:cs="Arial"/>
                <w:sz w:val="18"/>
                <w:szCs w:val="18"/>
              </w:rPr>
              <w:t>Aura</w:t>
            </w:r>
          </w:p>
        </w:tc>
        <w:tc>
          <w:tcPr>
            <w:tcW w:w="656"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20"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E659A9" w:rsidRPr="00FB3620" w:rsidRDefault="00E659A9" w:rsidP="001731FC">
            <w:pPr>
              <w:jc w:val="center"/>
              <w:rPr>
                <w:rFonts w:ascii="Arial" w:hAnsi="Arial" w:cs="Arial"/>
                <w:sz w:val="18"/>
                <w:szCs w:val="18"/>
              </w:rPr>
            </w:pPr>
          </w:p>
        </w:tc>
      </w:tr>
      <w:tr w:rsidR="00E659A9" w:rsidRPr="00FB3620" w:rsidTr="00DF11CD">
        <w:tc>
          <w:tcPr>
            <w:tcW w:w="849" w:type="pct"/>
            <w:shd w:val="clear" w:color="auto" w:fill="auto"/>
          </w:tcPr>
          <w:p w:rsidR="00E659A9" w:rsidRPr="00FB3620" w:rsidRDefault="00E659A9" w:rsidP="001731FC">
            <w:pPr>
              <w:rPr>
                <w:rFonts w:ascii="Arial" w:hAnsi="Arial" w:cs="Arial"/>
                <w:sz w:val="18"/>
                <w:szCs w:val="18"/>
              </w:rPr>
            </w:pPr>
            <w:r w:rsidRPr="00FB3620">
              <w:rPr>
                <w:rFonts w:ascii="Arial" w:hAnsi="Arial" w:cs="Arial"/>
                <w:sz w:val="18"/>
                <w:szCs w:val="18"/>
              </w:rPr>
              <w:t>PFO</w:t>
            </w:r>
          </w:p>
        </w:tc>
        <w:tc>
          <w:tcPr>
            <w:tcW w:w="656"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w:t>
            </w:r>
          </w:p>
        </w:tc>
        <w:tc>
          <w:tcPr>
            <w:tcW w:w="620"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E659A9" w:rsidRPr="00FB3620" w:rsidRDefault="00E659A9" w:rsidP="001731FC">
            <w:pPr>
              <w:jc w:val="center"/>
              <w:rPr>
                <w:rFonts w:ascii="Arial" w:hAnsi="Arial" w:cs="Arial"/>
                <w:sz w:val="18"/>
                <w:szCs w:val="18"/>
              </w:rPr>
            </w:pPr>
          </w:p>
        </w:tc>
      </w:tr>
      <w:tr w:rsidR="00E659A9" w:rsidRPr="00FB3620" w:rsidTr="00DF11CD">
        <w:tc>
          <w:tcPr>
            <w:tcW w:w="849" w:type="pct"/>
            <w:shd w:val="clear" w:color="auto" w:fill="auto"/>
          </w:tcPr>
          <w:p w:rsidR="00E659A9" w:rsidRPr="00FB3620" w:rsidRDefault="00E659A9" w:rsidP="001731FC">
            <w:pPr>
              <w:rPr>
                <w:rFonts w:ascii="Arial" w:hAnsi="Arial" w:cs="Arial"/>
                <w:b/>
                <w:sz w:val="18"/>
                <w:szCs w:val="18"/>
              </w:rPr>
            </w:pPr>
            <w:r w:rsidRPr="00FB3620">
              <w:rPr>
                <w:rFonts w:ascii="Arial" w:hAnsi="Arial" w:cs="Arial"/>
                <w:b/>
                <w:sz w:val="18"/>
                <w:szCs w:val="18"/>
              </w:rPr>
              <w:t>N</w:t>
            </w:r>
          </w:p>
        </w:tc>
        <w:tc>
          <w:tcPr>
            <w:tcW w:w="656"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10</w:t>
            </w:r>
          </w:p>
        </w:tc>
        <w:tc>
          <w:tcPr>
            <w:tcW w:w="622"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8</w:t>
            </w:r>
          </w:p>
        </w:tc>
        <w:tc>
          <w:tcPr>
            <w:tcW w:w="601"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10</w:t>
            </w:r>
          </w:p>
        </w:tc>
        <w:tc>
          <w:tcPr>
            <w:tcW w:w="601"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9</w:t>
            </w:r>
          </w:p>
        </w:tc>
        <w:tc>
          <w:tcPr>
            <w:tcW w:w="601"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10</w:t>
            </w:r>
          </w:p>
        </w:tc>
        <w:tc>
          <w:tcPr>
            <w:tcW w:w="620"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9</w:t>
            </w:r>
          </w:p>
        </w:tc>
        <w:tc>
          <w:tcPr>
            <w:tcW w:w="450" w:type="pct"/>
            <w:shd w:val="clear" w:color="auto" w:fill="auto"/>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F</w:t>
            </w:r>
          </w:p>
        </w:tc>
      </w:tr>
      <w:tr w:rsidR="00E659A9" w:rsidRPr="00FB3620" w:rsidTr="00FB3620">
        <w:tc>
          <w:tcPr>
            <w:tcW w:w="5000" w:type="pct"/>
            <w:gridSpan w:val="8"/>
            <w:shd w:val="clear" w:color="auto" w:fill="F2F2F2" w:themeFill="background1" w:themeFillShade="F2"/>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PCA</w:t>
            </w:r>
          </w:p>
        </w:tc>
      </w:tr>
      <w:tr w:rsidR="00E659A9" w:rsidRPr="00FB3620" w:rsidTr="00FB3620">
        <w:tc>
          <w:tcPr>
            <w:tcW w:w="5000" w:type="pct"/>
            <w:gridSpan w:val="8"/>
            <w:shd w:val="clear" w:color="auto" w:fill="F2F2F2" w:themeFill="background1" w:themeFillShade="F2"/>
          </w:tcPr>
          <w:p w:rsidR="00E659A9" w:rsidRPr="00FB3620" w:rsidRDefault="00E659A9" w:rsidP="001731FC">
            <w:pPr>
              <w:jc w:val="center"/>
              <w:rPr>
                <w:rFonts w:ascii="Arial" w:hAnsi="Arial" w:cs="Arial"/>
                <w:sz w:val="18"/>
                <w:szCs w:val="18"/>
              </w:rPr>
            </w:pPr>
            <w:r w:rsidRPr="00FB3620">
              <w:rPr>
                <w:rFonts w:ascii="Arial" w:hAnsi="Arial" w:cs="Arial"/>
                <w:sz w:val="18"/>
                <w:szCs w:val="18"/>
              </w:rPr>
              <w:t>BHI</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 xml:space="preserve">Bazal Vmean </w:t>
            </w:r>
          </w:p>
        </w:tc>
        <w:tc>
          <w:tcPr>
            <w:tcW w:w="656" w:type="pct"/>
          </w:tcPr>
          <w:p w:rsidR="00E659A9" w:rsidRPr="00FB3620" w:rsidRDefault="00E659A9">
            <w:pPr>
              <w:jc w:val="center"/>
              <w:rPr>
                <w:rFonts w:ascii="Arial" w:hAnsi="Arial" w:cs="Arial"/>
                <w:sz w:val="18"/>
                <w:szCs w:val="18"/>
              </w:rPr>
            </w:pPr>
            <w:r w:rsidRPr="00FB3620">
              <w:rPr>
                <w:rFonts w:ascii="Arial" w:hAnsi="Arial" w:cs="Arial"/>
                <w:sz w:val="18"/>
                <w:szCs w:val="18"/>
              </w:rPr>
              <w:t>42±10</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45±11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48±10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40±7</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47±8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47±7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1,02</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Bazal PI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0,76±0,10</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0.69±0,11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0,69±0,08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0,64±0,14</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0,76±0,12</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0,73±0,13</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1,42</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Dip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41±11</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35±18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36±22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36±9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43±9</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38±16</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0,40</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Dip PI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0,84±0,23</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0,64±0,26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0,55±0,38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0,74±0,20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0,87±0,17</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0,71±0,37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1,45</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Δ (%) Dip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6,0±7,2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3,5±0,8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8,9±11,0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12,1±9,8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9,0±11,5</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6,8±9,7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0,77</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Δ Dip PI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0,001±0,092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-0,013±0,05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-0,05±0,11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-0,06±0,29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-0.08±0.09</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-0,07±0,06</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1,41</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t dip</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9,1±4,2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9,8±1,7</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7,7±4,7</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8,6±4,1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8,3±3,6</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7,6±3,5</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0,44</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Apne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55±11</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58±14</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66±15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53±13</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64±12</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60±10</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1,76</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Apne Δ (%)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28,4±7,2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32,0±12,9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37,0±12,1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28,9±15,2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38,0±16,0</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29,2±8,7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1,15</w:t>
            </w:r>
          </w:p>
        </w:tc>
      </w:tr>
      <w:tr w:rsidR="00E659A9" w:rsidRPr="00FB3620" w:rsidTr="00FB36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9" w:type="pct"/>
            <w:shd w:val="clear" w:color="auto" w:fill="auto"/>
          </w:tcPr>
          <w:p w:rsidR="00E659A9" w:rsidRPr="00FB3620" w:rsidRDefault="00E659A9" w:rsidP="001731FC">
            <w:pPr>
              <w:rPr>
                <w:rFonts w:ascii="Arial" w:hAnsi="Arial" w:cs="Arial"/>
                <w:sz w:val="18"/>
                <w:szCs w:val="18"/>
              </w:rPr>
            </w:pPr>
            <w:r w:rsidRPr="00FB3620">
              <w:rPr>
                <w:rFonts w:ascii="Arial" w:hAnsi="Arial" w:cs="Arial"/>
                <w:sz w:val="18"/>
                <w:szCs w:val="18"/>
              </w:rPr>
              <w:t>BHI</w:t>
            </w:r>
          </w:p>
        </w:tc>
        <w:tc>
          <w:tcPr>
            <w:tcW w:w="656"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0,95±0,24</w:t>
            </w:r>
          </w:p>
        </w:tc>
        <w:tc>
          <w:tcPr>
            <w:tcW w:w="622"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1,07±0,43</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1,23±0,40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0,96±0,50</w:t>
            </w:r>
          </w:p>
        </w:tc>
        <w:tc>
          <w:tcPr>
            <w:tcW w:w="601"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1,27±0,53</w:t>
            </w:r>
          </w:p>
        </w:tc>
        <w:tc>
          <w:tcPr>
            <w:tcW w:w="620"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1,05±0,28</w:t>
            </w:r>
          </w:p>
        </w:tc>
        <w:tc>
          <w:tcPr>
            <w:tcW w:w="450" w:type="pct"/>
            <w:shd w:val="clear" w:color="auto" w:fill="auto"/>
          </w:tcPr>
          <w:p w:rsidR="00E659A9" w:rsidRPr="00FB3620" w:rsidRDefault="00E659A9" w:rsidP="001731FC">
            <w:pPr>
              <w:jc w:val="center"/>
              <w:rPr>
                <w:rFonts w:ascii="Arial" w:hAnsi="Arial" w:cs="Arial"/>
                <w:sz w:val="18"/>
                <w:szCs w:val="18"/>
              </w:rPr>
            </w:pPr>
            <w:r w:rsidRPr="00FB3620">
              <w:rPr>
                <w:rFonts w:ascii="Arial" w:hAnsi="Arial" w:cs="Arial"/>
                <w:sz w:val="18"/>
                <w:szCs w:val="18"/>
              </w:rPr>
              <w:t>1,04</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Ipsi. Δ (%) Dip Vm.</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6,6±8,4</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10,3±10,8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7,2±7,4</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12,0±10,1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10,2±7,8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10,5±6,6</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0,45</w:t>
            </w:r>
          </w:p>
        </w:tc>
      </w:tr>
      <w:tr w:rsidR="00E659A9" w:rsidRPr="00FB3620" w:rsidTr="00FB3620">
        <w:tc>
          <w:tcPr>
            <w:tcW w:w="849" w:type="pct"/>
          </w:tcPr>
          <w:p w:rsidR="00E659A9" w:rsidRPr="00FB3620" w:rsidRDefault="00E659A9" w:rsidP="001731FC">
            <w:pPr>
              <w:ind w:right="-87"/>
              <w:rPr>
                <w:rFonts w:ascii="Arial" w:hAnsi="Arial" w:cs="Arial"/>
                <w:sz w:val="18"/>
                <w:szCs w:val="18"/>
              </w:rPr>
            </w:pPr>
            <w:r w:rsidRPr="00FB3620">
              <w:rPr>
                <w:rFonts w:ascii="Arial" w:hAnsi="Arial" w:cs="Arial"/>
                <w:sz w:val="18"/>
                <w:szCs w:val="18"/>
              </w:rPr>
              <w:t>Kontr.Δ (%) DipVm.</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5,5±7,2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6,1±7,2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8,0±9,0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12,2±11,1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7,9±16,0</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8,9±6,3</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0,45</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Ipsilateral BHI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0,92±0,28</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1,15±0,56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1,24±0.42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0,99±0,56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1,23±0,48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0.93±0,25</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1,11</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Kontrlateral BHI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0,98±0,29</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0,98±0,37</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1,23±0,42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0,94±0,51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1,31±0,63</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1,17±0,38</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1,11</w:t>
            </w:r>
          </w:p>
        </w:tc>
      </w:tr>
      <w:tr w:rsidR="00E659A9" w:rsidRPr="00FB3620" w:rsidTr="00FB3620">
        <w:tc>
          <w:tcPr>
            <w:tcW w:w="5000" w:type="pct"/>
            <w:gridSpan w:val="8"/>
            <w:shd w:val="clear" w:color="auto" w:fill="F2F2F2" w:themeFill="background1" w:themeFillShade="F2"/>
          </w:tcPr>
          <w:p w:rsidR="00E659A9" w:rsidRPr="00FB3620" w:rsidRDefault="00E659A9" w:rsidP="001731FC">
            <w:pPr>
              <w:jc w:val="center"/>
              <w:rPr>
                <w:rFonts w:ascii="Arial" w:hAnsi="Arial" w:cs="Arial"/>
                <w:sz w:val="18"/>
                <w:szCs w:val="18"/>
              </w:rPr>
            </w:pPr>
            <w:r w:rsidRPr="00FB3620">
              <w:rPr>
                <w:rFonts w:ascii="Arial" w:hAnsi="Arial" w:cs="Arial"/>
                <w:sz w:val="18"/>
                <w:szCs w:val="18"/>
              </w:rPr>
              <w:t>HPV</w:t>
            </w:r>
          </w:p>
        </w:tc>
      </w:tr>
      <w:tr w:rsidR="00E659A9" w:rsidRPr="00FB3620" w:rsidTr="00FB3620">
        <w:tc>
          <w:tcPr>
            <w:tcW w:w="849" w:type="pct"/>
          </w:tcPr>
          <w:p w:rsidR="00E659A9" w:rsidRPr="00FB3620" w:rsidRDefault="00E659A9" w:rsidP="001731FC">
            <w:pPr>
              <w:ind w:right="-87"/>
              <w:rPr>
                <w:rFonts w:ascii="Arial" w:hAnsi="Arial" w:cs="Arial"/>
                <w:sz w:val="18"/>
                <w:szCs w:val="18"/>
              </w:rPr>
            </w:pPr>
            <w:r w:rsidRPr="00FB3620">
              <w:rPr>
                <w:rFonts w:ascii="Arial" w:hAnsi="Arial" w:cs="Arial"/>
                <w:sz w:val="18"/>
                <w:szCs w:val="18"/>
              </w:rPr>
              <w:t>HPV Δ (%</w:t>
            </w:r>
            <w:r w:rsidRPr="00FB3620">
              <w:rPr>
                <w:rFonts w:ascii="Arial" w:hAnsi="Arial" w:cs="Arial"/>
                <w:sz w:val="18"/>
                <w:szCs w:val="18"/>
              </w:rPr>
              <w:sym w:font="Symbol" w:char="F0AF"/>
            </w:r>
            <w:r w:rsidRPr="00FB3620">
              <w:rPr>
                <w:rFonts w:ascii="Arial" w:hAnsi="Arial" w:cs="Arial"/>
                <w:sz w:val="18"/>
                <w:szCs w:val="18"/>
              </w:rPr>
              <w:t>)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24±8</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25±9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29±6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29±15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27±6</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26±8</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0,44</w:t>
            </w:r>
          </w:p>
        </w:tc>
      </w:tr>
      <w:tr w:rsidR="00E659A9" w:rsidRPr="00FB3620" w:rsidTr="00FB3620">
        <w:tc>
          <w:tcPr>
            <w:tcW w:w="849" w:type="pct"/>
          </w:tcPr>
          <w:p w:rsidR="00E659A9" w:rsidRPr="00FB3620" w:rsidRDefault="00E659A9" w:rsidP="001731FC">
            <w:pPr>
              <w:ind w:right="-87"/>
              <w:rPr>
                <w:rFonts w:ascii="Arial" w:hAnsi="Arial" w:cs="Arial"/>
                <w:sz w:val="18"/>
                <w:szCs w:val="18"/>
              </w:rPr>
            </w:pPr>
            <w:r w:rsidRPr="00FB3620">
              <w:rPr>
                <w:rFonts w:ascii="Arial" w:hAnsi="Arial" w:cs="Arial"/>
                <w:sz w:val="18"/>
                <w:szCs w:val="18"/>
              </w:rPr>
              <w:t>İpsi HPV Δ (%</w:t>
            </w:r>
            <w:r w:rsidRPr="00FB3620">
              <w:rPr>
                <w:rFonts w:ascii="Arial" w:hAnsi="Arial" w:cs="Arial"/>
                <w:sz w:val="18"/>
                <w:szCs w:val="18"/>
              </w:rPr>
              <w:sym w:font="Symbol" w:char="F0AF"/>
            </w:r>
            <w:r w:rsidRPr="00FB3620">
              <w:rPr>
                <w:rFonts w:ascii="Arial" w:hAnsi="Arial" w:cs="Arial"/>
                <w:sz w:val="18"/>
                <w:szCs w:val="18"/>
              </w:rPr>
              <w:t>) Vm.</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27±10</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26±9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29±6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32±10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27±10</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26±7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0,79</w:t>
            </w:r>
          </w:p>
        </w:tc>
      </w:tr>
      <w:tr w:rsidR="00E659A9" w:rsidRPr="00FB3620" w:rsidTr="00FB3620">
        <w:tc>
          <w:tcPr>
            <w:tcW w:w="849" w:type="pct"/>
          </w:tcPr>
          <w:p w:rsidR="00E659A9" w:rsidRPr="00FB3620" w:rsidRDefault="00E659A9" w:rsidP="001731FC">
            <w:pPr>
              <w:ind w:right="-87"/>
              <w:rPr>
                <w:rFonts w:ascii="Arial" w:hAnsi="Arial" w:cs="Arial"/>
                <w:sz w:val="18"/>
                <w:szCs w:val="18"/>
              </w:rPr>
            </w:pPr>
            <w:r w:rsidRPr="00FB3620">
              <w:rPr>
                <w:rFonts w:ascii="Arial" w:hAnsi="Arial" w:cs="Arial"/>
                <w:sz w:val="18"/>
                <w:szCs w:val="18"/>
              </w:rPr>
              <w:t>Kontr HPV Δ (%</w:t>
            </w:r>
            <w:r w:rsidRPr="00FB3620">
              <w:rPr>
                <w:rFonts w:ascii="Arial" w:hAnsi="Arial" w:cs="Arial"/>
                <w:sz w:val="18"/>
                <w:szCs w:val="18"/>
              </w:rPr>
              <w:sym w:font="Symbol" w:char="F0AF"/>
            </w:r>
            <w:r w:rsidRPr="00FB3620">
              <w:rPr>
                <w:rFonts w:ascii="Arial" w:hAnsi="Arial" w:cs="Arial"/>
                <w:sz w:val="18"/>
                <w:szCs w:val="18"/>
              </w:rPr>
              <w:t>)Vm.</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22±9</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24±11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28±9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32±10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27±6</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27±7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1,31</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t plato</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15,2±3,9</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16,9±3,5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17,5±3,0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15,2±5,6</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14,9±2,8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15,1±2,4</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0,78</w:t>
            </w:r>
          </w:p>
        </w:tc>
      </w:tr>
      <w:tr w:rsidR="00E659A9" w:rsidRPr="00FB3620" w:rsidTr="00FB3620">
        <w:tc>
          <w:tcPr>
            <w:tcW w:w="849" w:type="pct"/>
          </w:tcPr>
          <w:p w:rsidR="00E659A9" w:rsidRPr="00FB3620" w:rsidRDefault="00E659A9" w:rsidP="001731FC">
            <w:pPr>
              <w:rPr>
                <w:rFonts w:ascii="Arial" w:hAnsi="Arial" w:cs="Arial"/>
                <w:sz w:val="16"/>
                <w:szCs w:val="16"/>
              </w:rPr>
            </w:pPr>
            <w:r w:rsidRPr="00FB3620">
              <w:rPr>
                <w:rFonts w:ascii="Arial" w:hAnsi="Arial" w:cs="Arial"/>
                <w:sz w:val="16"/>
                <w:szCs w:val="16"/>
              </w:rPr>
              <w:t xml:space="preserve">HPV Δ PI </w:t>
            </w:r>
            <w:r w:rsidRPr="00FB3620">
              <w:rPr>
                <w:rFonts w:ascii="Arial" w:hAnsi="Arial" w:cs="Arial"/>
                <w:sz w:val="16"/>
                <w:szCs w:val="16"/>
              </w:rPr>
              <w:sym w:font="Symbol" w:char="F0AD"/>
            </w:r>
          </w:p>
        </w:tc>
        <w:tc>
          <w:tcPr>
            <w:tcW w:w="656"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0,38±0,22</w:t>
            </w:r>
          </w:p>
        </w:tc>
        <w:tc>
          <w:tcPr>
            <w:tcW w:w="622"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0,13±0,11</w:t>
            </w:r>
          </w:p>
        </w:tc>
        <w:tc>
          <w:tcPr>
            <w:tcW w:w="601"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0,40±0,28</w:t>
            </w:r>
          </w:p>
        </w:tc>
        <w:tc>
          <w:tcPr>
            <w:tcW w:w="601"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0,33±0,25</w:t>
            </w:r>
          </w:p>
        </w:tc>
        <w:tc>
          <w:tcPr>
            <w:tcW w:w="601"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0,33±0,20</w:t>
            </w:r>
          </w:p>
        </w:tc>
        <w:tc>
          <w:tcPr>
            <w:tcW w:w="620"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0,33±0,19</w:t>
            </w:r>
          </w:p>
        </w:tc>
        <w:tc>
          <w:tcPr>
            <w:tcW w:w="450" w:type="pct"/>
          </w:tcPr>
          <w:p w:rsidR="00E659A9" w:rsidRPr="00FB3620" w:rsidRDefault="00E659A9" w:rsidP="001731FC">
            <w:pPr>
              <w:jc w:val="center"/>
              <w:rPr>
                <w:rFonts w:ascii="Arial" w:hAnsi="Arial" w:cs="Arial"/>
                <w:sz w:val="16"/>
                <w:szCs w:val="16"/>
              </w:rPr>
            </w:pPr>
            <w:r w:rsidRPr="00FB3620">
              <w:rPr>
                <w:rFonts w:ascii="Arial" w:hAnsi="Arial" w:cs="Arial"/>
                <w:sz w:val="16"/>
                <w:szCs w:val="16"/>
              </w:rPr>
              <w:t>1,61</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 xml:space="preserve">İpsi HPV Δ PI </w:t>
            </w:r>
            <w:r w:rsidRPr="00FB3620">
              <w:rPr>
                <w:rFonts w:ascii="Arial" w:hAnsi="Arial" w:cs="Arial"/>
                <w:sz w:val="18"/>
                <w:szCs w:val="18"/>
              </w:rPr>
              <w:sym w:font="Symbol" w:char="F0AD"/>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0,41±0,38</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0,14±0,08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0,43±0,34</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0,33±0,28</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0,38±0,18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0,29±0,15</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1,43</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 xml:space="preserve">Kontr HPV Δ PI </w:t>
            </w:r>
            <w:r w:rsidRPr="00FB3620">
              <w:rPr>
                <w:rFonts w:ascii="Arial" w:hAnsi="Arial" w:cs="Arial"/>
                <w:sz w:val="18"/>
                <w:szCs w:val="18"/>
              </w:rPr>
              <w:sym w:font="Symbol" w:char="F0AD"/>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0,36±0,12</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0,13±0,15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0,38±0,25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0,38±0,25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0,28±0,25</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0,28±0,25</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1,63</w:t>
            </w:r>
          </w:p>
        </w:tc>
      </w:tr>
      <w:tr w:rsidR="00E659A9" w:rsidRPr="00FB3620" w:rsidTr="00FB3620">
        <w:tc>
          <w:tcPr>
            <w:tcW w:w="5000" w:type="pct"/>
            <w:gridSpan w:val="8"/>
            <w:shd w:val="clear" w:color="auto" w:fill="F2F2F2" w:themeFill="background1" w:themeFillShade="F2"/>
          </w:tcPr>
          <w:p w:rsidR="00E659A9" w:rsidRPr="00FB3620" w:rsidRDefault="00E659A9" w:rsidP="001731FC">
            <w:pPr>
              <w:jc w:val="center"/>
              <w:rPr>
                <w:rFonts w:ascii="Arial" w:hAnsi="Arial" w:cs="Arial"/>
                <w:b/>
                <w:sz w:val="18"/>
                <w:szCs w:val="18"/>
              </w:rPr>
            </w:pPr>
            <w:r w:rsidRPr="00FB3620">
              <w:rPr>
                <w:rFonts w:ascii="Arial" w:hAnsi="Arial" w:cs="Arial"/>
                <w:b/>
                <w:sz w:val="18"/>
                <w:szCs w:val="18"/>
              </w:rPr>
              <w:t>MCA</w:t>
            </w:r>
          </w:p>
        </w:tc>
      </w:tr>
      <w:tr w:rsidR="00E659A9" w:rsidRPr="00FB3620" w:rsidTr="00FB3620">
        <w:tc>
          <w:tcPr>
            <w:tcW w:w="5000" w:type="pct"/>
            <w:gridSpan w:val="8"/>
            <w:shd w:val="clear" w:color="auto" w:fill="F2F2F2" w:themeFill="background1" w:themeFillShade="F2"/>
          </w:tcPr>
          <w:p w:rsidR="00E659A9" w:rsidRPr="00FB3620" w:rsidRDefault="00E659A9" w:rsidP="001731FC">
            <w:pPr>
              <w:jc w:val="center"/>
              <w:rPr>
                <w:rFonts w:ascii="Arial" w:hAnsi="Arial" w:cs="Arial"/>
                <w:sz w:val="18"/>
                <w:szCs w:val="18"/>
              </w:rPr>
            </w:pPr>
            <w:r w:rsidRPr="00FB3620">
              <w:rPr>
                <w:rFonts w:ascii="Arial" w:hAnsi="Arial" w:cs="Arial"/>
                <w:sz w:val="18"/>
                <w:szCs w:val="18"/>
              </w:rPr>
              <w:t>BHI</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 xml:space="preserve">Bazal Vmean </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66±7</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58±15</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67±7</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64±10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63±10</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66±10</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0,89</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Bazal PI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0,72±0,11</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0,69±0,11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0,76±0,13</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0,65±0,1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0,77±0,09</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0,69±0,09</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1,63</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Dip Vmean</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60±8</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52±12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66±10</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58±11</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59±8</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61±8</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2,01</w:t>
            </w:r>
          </w:p>
        </w:tc>
      </w:tr>
      <w:tr w:rsidR="00E659A9" w:rsidRPr="00FB3620" w:rsidTr="00FB3620">
        <w:tc>
          <w:tcPr>
            <w:tcW w:w="849" w:type="pct"/>
          </w:tcPr>
          <w:p w:rsidR="00E659A9" w:rsidRPr="00FB3620" w:rsidRDefault="00E659A9" w:rsidP="001731FC">
            <w:pPr>
              <w:rPr>
                <w:rFonts w:ascii="Arial" w:hAnsi="Arial" w:cs="Arial"/>
                <w:sz w:val="18"/>
                <w:szCs w:val="18"/>
              </w:rPr>
            </w:pPr>
            <w:r w:rsidRPr="00FB3620">
              <w:rPr>
                <w:rFonts w:ascii="Arial" w:hAnsi="Arial" w:cs="Arial"/>
                <w:sz w:val="18"/>
                <w:szCs w:val="18"/>
              </w:rPr>
              <w:t>Dip PI</w:t>
            </w:r>
          </w:p>
        </w:tc>
        <w:tc>
          <w:tcPr>
            <w:tcW w:w="656"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0,8±0,11</w:t>
            </w:r>
          </w:p>
        </w:tc>
        <w:tc>
          <w:tcPr>
            <w:tcW w:w="622"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0,75±0,19</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0,81±0,12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0,69±0,12</w:t>
            </w:r>
          </w:p>
        </w:tc>
        <w:tc>
          <w:tcPr>
            <w:tcW w:w="601"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0,90±0,12</w:t>
            </w:r>
          </w:p>
        </w:tc>
        <w:tc>
          <w:tcPr>
            <w:tcW w:w="62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0,76±0,07</w:t>
            </w:r>
          </w:p>
        </w:tc>
        <w:tc>
          <w:tcPr>
            <w:tcW w:w="450" w:type="pct"/>
          </w:tcPr>
          <w:p w:rsidR="00E659A9" w:rsidRPr="00FB3620" w:rsidRDefault="00E659A9" w:rsidP="001731FC">
            <w:pPr>
              <w:jc w:val="center"/>
              <w:rPr>
                <w:rFonts w:ascii="Arial" w:hAnsi="Arial" w:cs="Arial"/>
                <w:sz w:val="18"/>
                <w:szCs w:val="18"/>
              </w:rPr>
            </w:pPr>
            <w:r w:rsidRPr="00FB3620">
              <w:rPr>
                <w:rFonts w:ascii="Arial" w:hAnsi="Arial" w:cs="Arial"/>
                <w:sz w:val="18"/>
                <w:szCs w:val="18"/>
              </w:rPr>
              <w:t>2,84</w:t>
            </w:r>
          </w:p>
        </w:tc>
      </w:tr>
    </w:tbl>
    <w:p w:rsidR="00FB3620" w:rsidRPr="00461F9A" w:rsidRDefault="00FB3620" w:rsidP="00FB3620">
      <w:pPr>
        <w:pStyle w:val="METN"/>
        <w:spacing w:after="120"/>
        <w:ind w:firstLine="0"/>
      </w:pPr>
      <w:r w:rsidRPr="00FB3620">
        <w:rPr>
          <w:b/>
        </w:rPr>
        <w:lastRenderedPageBreak/>
        <w:t xml:space="preserve">Tablo </w:t>
      </w:r>
      <w:proofErr w:type="gramStart"/>
      <w:r w:rsidRPr="00FB3620">
        <w:rPr>
          <w:b/>
        </w:rPr>
        <w:t>3.3</w:t>
      </w:r>
      <w:proofErr w:type="gramEnd"/>
      <w:r w:rsidRPr="006618EA">
        <w:t xml:space="preserve">. </w:t>
      </w:r>
      <w:r w:rsidRPr="006618EA">
        <w:rPr>
          <w:b/>
        </w:rPr>
        <w:t>(Devam)</w:t>
      </w:r>
      <w:r>
        <w:t xml:space="preserve"> </w:t>
      </w:r>
      <w:r w:rsidRPr="00FB3620">
        <w:t>Bazal VMR II</w:t>
      </w:r>
    </w:p>
    <w:tbl>
      <w:tblPr>
        <w:tblStyle w:val="TabloKlavuzu"/>
        <w:tblW w:w="5000" w:type="pct"/>
        <w:tblLook w:val="04A0" w:firstRow="1" w:lastRow="0" w:firstColumn="1" w:lastColumn="0" w:noHBand="0" w:noVBand="1"/>
      </w:tblPr>
      <w:tblGrid>
        <w:gridCol w:w="2280"/>
        <w:gridCol w:w="1761"/>
        <w:gridCol w:w="1670"/>
        <w:gridCol w:w="1614"/>
        <w:gridCol w:w="1614"/>
        <w:gridCol w:w="1614"/>
        <w:gridCol w:w="1665"/>
        <w:gridCol w:w="1208"/>
      </w:tblGrid>
      <w:tr w:rsidR="00FB3620" w:rsidRPr="00FB3620" w:rsidTr="00DF11CD">
        <w:tc>
          <w:tcPr>
            <w:tcW w:w="849" w:type="pct"/>
            <w:shd w:val="clear" w:color="auto" w:fill="auto"/>
          </w:tcPr>
          <w:p w:rsidR="00FB3620" w:rsidRPr="00FB3620" w:rsidRDefault="00FB3620" w:rsidP="00FB3620">
            <w:pPr>
              <w:rPr>
                <w:rFonts w:ascii="Arial" w:hAnsi="Arial" w:cs="Arial"/>
                <w:b/>
                <w:sz w:val="20"/>
                <w:szCs w:val="20"/>
              </w:rPr>
            </w:pPr>
            <w:r w:rsidRPr="00FB3620">
              <w:rPr>
                <w:rFonts w:ascii="Arial" w:hAnsi="Arial" w:cs="Arial"/>
                <w:b/>
                <w:sz w:val="20"/>
                <w:szCs w:val="20"/>
              </w:rPr>
              <w:t>Grup</w:t>
            </w:r>
          </w:p>
        </w:tc>
        <w:tc>
          <w:tcPr>
            <w:tcW w:w="656"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1</w:t>
            </w:r>
          </w:p>
        </w:tc>
        <w:tc>
          <w:tcPr>
            <w:tcW w:w="622"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2</w:t>
            </w:r>
          </w:p>
        </w:tc>
        <w:tc>
          <w:tcPr>
            <w:tcW w:w="601"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3</w:t>
            </w:r>
          </w:p>
        </w:tc>
        <w:tc>
          <w:tcPr>
            <w:tcW w:w="601"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4</w:t>
            </w:r>
          </w:p>
        </w:tc>
        <w:tc>
          <w:tcPr>
            <w:tcW w:w="601"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5</w:t>
            </w:r>
          </w:p>
        </w:tc>
        <w:tc>
          <w:tcPr>
            <w:tcW w:w="620" w:type="pct"/>
            <w:shd w:val="clear" w:color="auto" w:fill="auto"/>
          </w:tcPr>
          <w:p w:rsidR="00FB3620" w:rsidRPr="00FB3620" w:rsidRDefault="00FB3620" w:rsidP="00FB3620">
            <w:pPr>
              <w:jc w:val="center"/>
              <w:rPr>
                <w:rFonts w:ascii="Arial" w:hAnsi="Arial" w:cs="Arial"/>
                <w:b/>
                <w:sz w:val="20"/>
                <w:szCs w:val="20"/>
              </w:rPr>
            </w:pPr>
            <w:r w:rsidRPr="00FB3620">
              <w:rPr>
                <w:rFonts w:ascii="Arial" w:hAnsi="Arial" w:cs="Arial"/>
                <w:b/>
                <w:sz w:val="20"/>
                <w:szCs w:val="20"/>
              </w:rPr>
              <w:t>6</w:t>
            </w:r>
          </w:p>
        </w:tc>
        <w:tc>
          <w:tcPr>
            <w:tcW w:w="450" w:type="pct"/>
            <w:shd w:val="clear" w:color="auto" w:fill="auto"/>
          </w:tcPr>
          <w:p w:rsidR="00FB3620" w:rsidRPr="00FB3620" w:rsidRDefault="00FB3620" w:rsidP="00FB3620">
            <w:pPr>
              <w:jc w:val="center"/>
              <w:rPr>
                <w:rFonts w:ascii="Arial" w:hAnsi="Arial" w:cs="Arial"/>
                <w:b/>
                <w:sz w:val="20"/>
                <w:szCs w:val="20"/>
              </w:rPr>
            </w:pPr>
          </w:p>
        </w:tc>
      </w:tr>
      <w:tr w:rsidR="00FB3620" w:rsidRPr="00FB3620" w:rsidTr="00DF11CD">
        <w:tc>
          <w:tcPr>
            <w:tcW w:w="849" w:type="pct"/>
            <w:shd w:val="clear" w:color="auto" w:fill="auto"/>
          </w:tcPr>
          <w:p w:rsidR="00FB3620" w:rsidRPr="00FB3620" w:rsidRDefault="00FB3620" w:rsidP="00FB3620">
            <w:pPr>
              <w:rPr>
                <w:rFonts w:ascii="Arial" w:hAnsi="Arial" w:cs="Arial"/>
                <w:sz w:val="18"/>
                <w:szCs w:val="18"/>
              </w:rPr>
            </w:pPr>
            <w:r w:rsidRPr="00FB3620">
              <w:rPr>
                <w:rFonts w:ascii="Arial" w:hAnsi="Arial" w:cs="Arial"/>
                <w:sz w:val="18"/>
                <w:szCs w:val="18"/>
              </w:rPr>
              <w:t>Migren</w:t>
            </w:r>
          </w:p>
        </w:tc>
        <w:tc>
          <w:tcPr>
            <w:tcW w:w="656"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20"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FB3620" w:rsidRPr="00FB3620" w:rsidRDefault="00FB3620" w:rsidP="00FB3620">
            <w:pPr>
              <w:jc w:val="center"/>
              <w:rPr>
                <w:rFonts w:ascii="Arial" w:hAnsi="Arial" w:cs="Arial"/>
                <w:sz w:val="18"/>
                <w:szCs w:val="18"/>
              </w:rPr>
            </w:pPr>
          </w:p>
        </w:tc>
      </w:tr>
      <w:tr w:rsidR="00FB3620" w:rsidRPr="00FB3620" w:rsidTr="00DF11CD">
        <w:tc>
          <w:tcPr>
            <w:tcW w:w="849" w:type="pct"/>
            <w:shd w:val="clear" w:color="auto" w:fill="auto"/>
          </w:tcPr>
          <w:p w:rsidR="00FB3620" w:rsidRPr="00FB3620" w:rsidRDefault="00FB3620" w:rsidP="00FB3620">
            <w:pPr>
              <w:rPr>
                <w:rFonts w:ascii="Arial" w:hAnsi="Arial" w:cs="Arial"/>
                <w:sz w:val="18"/>
                <w:szCs w:val="18"/>
              </w:rPr>
            </w:pPr>
            <w:r w:rsidRPr="00FB3620">
              <w:rPr>
                <w:rFonts w:ascii="Arial" w:hAnsi="Arial" w:cs="Arial"/>
                <w:sz w:val="18"/>
                <w:szCs w:val="18"/>
              </w:rPr>
              <w:t>Aura</w:t>
            </w:r>
          </w:p>
        </w:tc>
        <w:tc>
          <w:tcPr>
            <w:tcW w:w="656"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20"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FB3620" w:rsidRPr="00FB3620" w:rsidRDefault="00FB3620" w:rsidP="00FB3620">
            <w:pPr>
              <w:jc w:val="center"/>
              <w:rPr>
                <w:rFonts w:ascii="Arial" w:hAnsi="Arial" w:cs="Arial"/>
                <w:sz w:val="18"/>
                <w:szCs w:val="18"/>
              </w:rPr>
            </w:pPr>
          </w:p>
        </w:tc>
      </w:tr>
      <w:tr w:rsidR="00FB3620" w:rsidRPr="00FB3620" w:rsidTr="00DF11CD">
        <w:tc>
          <w:tcPr>
            <w:tcW w:w="849" w:type="pct"/>
            <w:shd w:val="clear" w:color="auto" w:fill="auto"/>
          </w:tcPr>
          <w:p w:rsidR="00FB3620" w:rsidRPr="00FB3620" w:rsidRDefault="00FB3620" w:rsidP="00FB3620">
            <w:pPr>
              <w:rPr>
                <w:rFonts w:ascii="Arial" w:hAnsi="Arial" w:cs="Arial"/>
                <w:sz w:val="18"/>
                <w:szCs w:val="18"/>
              </w:rPr>
            </w:pPr>
            <w:r w:rsidRPr="00FB3620">
              <w:rPr>
                <w:rFonts w:ascii="Arial" w:hAnsi="Arial" w:cs="Arial"/>
                <w:sz w:val="18"/>
                <w:szCs w:val="18"/>
              </w:rPr>
              <w:t>PFO</w:t>
            </w:r>
          </w:p>
        </w:tc>
        <w:tc>
          <w:tcPr>
            <w:tcW w:w="656"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22"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601"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0</w:t>
            </w:r>
          </w:p>
        </w:tc>
        <w:tc>
          <w:tcPr>
            <w:tcW w:w="620" w:type="pct"/>
            <w:shd w:val="clear" w:color="auto" w:fill="auto"/>
          </w:tcPr>
          <w:p w:rsidR="00FB3620" w:rsidRPr="00FB3620" w:rsidRDefault="00FB3620" w:rsidP="00FB3620">
            <w:pPr>
              <w:jc w:val="center"/>
              <w:rPr>
                <w:rFonts w:ascii="Arial" w:hAnsi="Arial" w:cs="Arial"/>
                <w:sz w:val="18"/>
                <w:szCs w:val="18"/>
              </w:rPr>
            </w:pPr>
            <w:r w:rsidRPr="00FB3620">
              <w:rPr>
                <w:rFonts w:ascii="Arial" w:hAnsi="Arial" w:cs="Arial"/>
                <w:sz w:val="18"/>
                <w:szCs w:val="18"/>
              </w:rPr>
              <w:t>1</w:t>
            </w:r>
          </w:p>
        </w:tc>
        <w:tc>
          <w:tcPr>
            <w:tcW w:w="450" w:type="pct"/>
            <w:shd w:val="clear" w:color="auto" w:fill="auto"/>
          </w:tcPr>
          <w:p w:rsidR="00FB3620" w:rsidRPr="00FB3620" w:rsidRDefault="00FB3620" w:rsidP="00FB3620">
            <w:pPr>
              <w:jc w:val="center"/>
              <w:rPr>
                <w:rFonts w:ascii="Arial" w:hAnsi="Arial" w:cs="Arial"/>
                <w:sz w:val="18"/>
                <w:szCs w:val="18"/>
              </w:rPr>
            </w:pPr>
          </w:p>
        </w:tc>
      </w:tr>
      <w:tr w:rsidR="00FB3620" w:rsidRPr="00FB3620" w:rsidTr="00DF11CD">
        <w:tc>
          <w:tcPr>
            <w:tcW w:w="849" w:type="pct"/>
            <w:shd w:val="clear" w:color="auto" w:fill="auto"/>
          </w:tcPr>
          <w:p w:rsidR="00FB3620" w:rsidRPr="00FB3620" w:rsidRDefault="00FB3620" w:rsidP="00FB3620">
            <w:pPr>
              <w:rPr>
                <w:rFonts w:ascii="Arial" w:hAnsi="Arial" w:cs="Arial"/>
                <w:b/>
                <w:sz w:val="18"/>
                <w:szCs w:val="18"/>
              </w:rPr>
            </w:pPr>
            <w:r w:rsidRPr="00FB3620">
              <w:rPr>
                <w:rFonts w:ascii="Arial" w:hAnsi="Arial" w:cs="Arial"/>
                <w:b/>
                <w:sz w:val="18"/>
                <w:szCs w:val="18"/>
              </w:rPr>
              <w:t>N</w:t>
            </w:r>
          </w:p>
        </w:tc>
        <w:tc>
          <w:tcPr>
            <w:tcW w:w="656"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10</w:t>
            </w:r>
          </w:p>
        </w:tc>
        <w:tc>
          <w:tcPr>
            <w:tcW w:w="622"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8</w:t>
            </w:r>
          </w:p>
        </w:tc>
        <w:tc>
          <w:tcPr>
            <w:tcW w:w="601"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10</w:t>
            </w:r>
          </w:p>
        </w:tc>
        <w:tc>
          <w:tcPr>
            <w:tcW w:w="601"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9</w:t>
            </w:r>
          </w:p>
        </w:tc>
        <w:tc>
          <w:tcPr>
            <w:tcW w:w="601"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10</w:t>
            </w:r>
          </w:p>
        </w:tc>
        <w:tc>
          <w:tcPr>
            <w:tcW w:w="620"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9</w:t>
            </w:r>
          </w:p>
        </w:tc>
        <w:tc>
          <w:tcPr>
            <w:tcW w:w="450" w:type="pct"/>
            <w:shd w:val="clear" w:color="auto" w:fill="auto"/>
          </w:tcPr>
          <w:p w:rsidR="00FB3620" w:rsidRPr="00FB3620" w:rsidRDefault="00FB3620" w:rsidP="00FB3620">
            <w:pPr>
              <w:jc w:val="center"/>
              <w:rPr>
                <w:rFonts w:ascii="Arial" w:hAnsi="Arial" w:cs="Arial"/>
                <w:b/>
                <w:sz w:val="18"/>
                <w:szCs w:val="18"/>
              </w:rPr>
            </w:pPr>
            <w:r w:rsidRPr="00FB3620">
              <w:rPr>
                <w:rFonts w:ascii="Arial" w:hAnsi="Arial" w:cs="Arial"/>
                <w:b/>
                <w:sz w:val="18"/>
                <w:szCs w:val="18"/>
              </w:rPr>
              <w:t>F</w:t>
            </w:r>
          </w:p>
        </w:tc>
      </w:tr>
      <w:tr w:rsidR="00FB3620" w:rsidRPr="00FB3620" w:rsidTr="00FB3620">
        <w:tc>
          <w:tcPr>
            <w:tcW w:w="5000" w:type="pct"/>
            <w:gridSpan w:val="8"/>
            <w:shd w:val="clear" w:color="auto" w:fill="F2F2F2" w:themeFill="background1" w:themeFillShade="F2"/>
          </w:tcPr>
          <w:p w:rsidR="00FB3620" w:rsidRPr="00FB3620" w:rsidRDefault="00FB3620" w:rsidP="00FB3620">
            <w:pPr>
              <w:jc w:val="center"/>
              <w:rPr>
                <w:rFonts w:ascii="Arial" w:hAnsi="Arial" w:cs="Arial"/>
                <w:sz w:val="18"/>
                <w:szCs w:val="18"/>
              </w:rPr>
            </w:pPr>
            <w:r w:rsidRPr="00FB3620">
              <w:rPr>
                <w:rFonts w:ascii="Arial" w:hAnsi="Arial" w:cs="Arial"/>
                <w:b/>
                <w:sz w:val="18"/>
                <w:szCs w:val="18"/>
              </w:rPr>
              <w:t>PCA</w:t>
            </w:r>
          </w:p>
        </w:tc>
      </w:tr>
      <w:tr w:rsidR="00FB3620" w:rsidRPr="00FB3620" w:rsidTr="00FB3620">
        <w:tc>
          <w:tcPr>
            <w:tcW w:w="5000" w:type="pct"/>
            <w:gridSpan w:val="8"/>
            <w:shd w:val="clear" w:color="auto" w:fill="F2F2F2" w:themeFill="background1" w:themeFillShade="F2"/>
          </w:tcPr>
          <w:p w:rsidR="00FB3620" w:rsidRPr="00FB3620" w:rsidRDefault="00FB3620" w:rsidP="00FB3620">
            <w:pPr>
              <w:jc w:val="center"/>
              <w:rPr>
                <w:rFonts w:ascii="Arial" w:hAnsi="Arial" w:cs="Arial"/>
                <w:sz w:val="18"/>
                <w:szCs w:val="18"/>
              </w:rPr>
            </w:pPr>
            <w:r w:rsidRPr="00FB3620">
              <w:rPr>
                <w:rFonts w:ascii="Arial" w:hAnsi="Arial" w:cs="Arial"/>
                <w:sz w:val="18"/>
                <w:szCs w:val="18"/>
              </w:rPr>
              <w:t>BHI</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Δ (%) Dip Vmean</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8,6±7,9</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10,2±9,5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5,1±7,1</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11,5±13,2</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8,1±9,2</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11,4±7,6</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0,63</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Δ Dip PI</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-0,08±0,09</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-0,06±0,09</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-0,1±0,1</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-0,04±0,07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-0,13±0,12</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-0,79±0,065</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1,07</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t dip</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11,4±2,7</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9,9±2,4</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10,1±2,8</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11,1±2,5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9,9±3,3</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10,9±3,8</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0,49</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Apne Vmean</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82±10</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74±17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98±18</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82±16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88±14</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83±14</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2,56</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Apne Δ (%) Vmean</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25,6±6,5</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30,9±15,5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43±10</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28±17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40±10</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27±11</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3,53</w:t>
            </w:r>
          </w:p>
        </w:tc>
      </w:tr>
      <w:tr w:rsidR="00FB3620" w:rsidRPr="00FB3620" w:rsidTr="00DF11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9" w:type="pct"/>
            <w:shd w:val="clear" w:color="auto" w:fill="auto"/>
          </w:tcPr>
          <w:p w:rsidR="00FB3620" w:rsidRPr="00FB3620" w:rsidRDefault="00FB3620" w:rsidP="00DF11CD">
            <w:pPr>
              <w:rPr>
                <w:rFonts w:ascii="Arial" w:hAnsi="Arial" w:cs="Arial"/>
                <w:sz w:val="18"/>
                <w:szCs w:val="18"/>
              </w:rPr>
            </w:pPr>
            <w:r w:rsidRPr="00FB3620">
              <w:rPr>
                <w:rFonts w:ascii="Arial" w:hAnsi="Arial" w:cs="Arial"/>
                <w:sz w:val="18"/>
                <w:szCs w:val="18"/>
              </w:rPr>
              <w:t>BHI</w:t>
            </w:r>
          </w:p>
        </w:tc>
        <w:tc>
          <w:tcPr>
            <w:tcW w:w="656"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0,85±0,22</w:t>
            </w:r>
          </w:p>
        </w:tc>
        <w:tc>
          <w:tcPr>
            <w:tcW w:w="622"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1,03±0,52</w:t>
            </w:r>
          </w:p>
        </w:tc>
        <w:tc>
          <w:tcPr>
            <w:tcW w:w="601"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1,43±0,32</w:t>
            </w:r>
          </w:p>
        </w:tc>
        <w:tc>
          <w:tcPr>
            <w:tcW w:w="601"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1.07±0,86</w:t>
            </w:r>
          </w:p>
        </w:tc>
        <w:tc>
          <w:tcPr>
            <w:tcW w:w="601"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1,43±0,47</w:t>
            </w:r>
          </w:p>
        </w:tc>
        <w:tc>
          <w:tcPr>
            <w:tcW w:w="620"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1,01±0,45</w:t>
            </w:r>
          </w:p>
        </w:tc>
        <w:tc>
          <w:tcPr>
            <w:tcW w:w="450" w:type="pct"/>
            <w:shd w:val="clear" w:color="auto" w:fill="auto"/>
          </w:tcPr>
          <w:p w:rsidR="00FB3620" w:rsidRPr="00FB3620" w:rsidRDefault="00FB3620" w:rsidP="00DF11CD">
            <w:pPr>
              <w:jc w:val="center"/>
              <w:rPr>
                <w:rFonts w:ascii="Arial" w:hAnsi="Arial" w:cs="Arial"/>
                <w:sz w:val="18"/>
                <w:szCs w:val="18"/>
              </w:rPr>
            </w:pPr>
            <w:r w:rsidRPr="00FB3620">
              <w:rPr>
                <w:rFonts w:ascii="Arial" w:hAnsi="Arial" w:cs="Arial"/>
                <w:sz w:val="18"/>
                <w:szCs w:val="18"/>
              </w:rPr>
              <w:t>2,202</w:t>
            </w:r>
          </w:p>
        </w:tc>
      </w:tr>
      <w:tr w:rsidR="00FB3620" w:rsidRPr="00FB3620" w:rsidTr="00DF11CD">
        <w:tc>
          <w:tcPr>
            <w:tcW w:w="849" w:type="pct"/>
          </w:tcPr>
          <w:p w:rsidR="00FB3620" w:rsidRPr="00FB3620" w:rsidRDefault="00FB3620" w:rsidP="00DF11CD">
            <w:pPr>
              <w:ind w:right="-87"/>
              <w:rPr>
                <w:rFonts w:ascii="Arial" w:hAnsi="Arial" w:cs="Arial"/>
                <w:sz w:val="18"/>
                <w:szCs w:val="18"/>
              </w:rPr>
            </w:pPr>
            <w:r w:rsidRPr="00FB3620">
              <w:rPr>
                <w:rFonts w:ascii="Arial" w:hAnsi="Arial" w:cs="Arial"/>
                <w:sz w:val="18"/>
                <w:szCs w:val="18"/>
              </w:rPr>
              <w:t>Ipsi. Δ (%) Dip Vmean</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10,8±8,8</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11,7±8,4</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4,1±8,0</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9,6±14,3</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10,1±10,4</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11,3±7,8</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0,72</w:t>
            </w:r>
          </w:p>
        </w:tc>
      </w:tr>
      <w:tr w:rsidR="00FB3620" w:rsidRPr="00FB3620" w:rsidTr="00DF11CD">
        <w:tc>
          <w:tcPr>
            <w:tcW w:w="849" w:type="pct"/>
          </w:tcPr>
          <w:p w:rsidR="00FB3620" w:rsidRPr="00FB3620" w:rsidRDefault="00FB3620" w:rsidP="00DF11CD">
            <w:pPr>
              <w:ind w:right="-87"/>
              <w:rPr>
                <w:rFonts w:ascii="Arial" w:hAnsi="Arial" w:cs="Arial"/>
                <w:sz w:val="18"/>
                <w:szCs w:val="18"/>
              </w:rPr>
            </w:pPr>
            <w:r w:rsidRPr="00FB3620">
              <w:rPr>
                <w:rFonts w:ascii="Arial" w:hAnsi="Arial" w:cs="Arial"/>
                <w:sz w:val="18"/>
                <w:szCs w:val="18"/>
              </w:rPr>
              <w:t>Kontr. Δ(%)Dip Vm.</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6,4±8,3</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8,6±11,4</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3,8±6,6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13,4±12,8</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6,5±9,4</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11,5±8,5</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1,17</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Ipsilateral BHI</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0,77±0,21</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0,92±0,37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1,35±0,33</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1,12±0,95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1,46±0,50</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0,94±0,43</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2,622</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Kontrlateral BHI</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0,94±0,29</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1,14±0,68</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1,50±0,37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1,02±0,79</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1.40±0,46</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1,07±0,49</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1,757</w:t>
            </w:r>
          </w:p>
        </w:tc>
      </w:tr>
      <w:tr w:rsidR="00FB3620" w:rsidRPr="00FB3620" w:rsidTr="00DF11CD">
        <w:tc>
          <w:tcPr>
            <w:tcW w:w="5000" w:type="pct"/>
            <w:gridSpan w:val="8"/>
            <w:shd w:val="clear" w:color="auto" w:fill="F2F2F2" w:themeFill="background1" w:themeFillShade="F2"/>
          </w:tcPr>
          <w:p w:rsidR="00FB3620" w:rsidRPr="00FB3620" w:rsidRDefault="00FB3620" w:rsidP="00DF11CD">
            <w:pPr>
              <w:jc w:val="center"/>
              <w:rPr>
                <w:rFonts w:ascii="Arial" w:hAnsi="Arial" w:cs="Arial"/>
                <w:sz w:val="18"/>
                <w:szCs w:val="18"/>
              </w:rPr>
            </w:pPr>
            <w:r w:rsidRPr="00FB3620">
              <w:rPr>
                <w:rFonts w:ascii="Arial" w:hAnsi="Arial" w:cs="Arial"/>
                <w:sz w:val="18"/>
                <w:szCs w:val="18"/>
              </w:rPr>
              <w:t>HPV</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HPV Δ (%</w:t>
            </w:r>
            <w:r w:rsidRPr="00FB3620">
              <w:rPr>
                <w:rFonts w:ascii="Arial" w:hAnsi="Arial" w:cs="Arial"/>
                <w:sz w:val="18"/>
                <w:szCs w:val="18"/>
              </w:rPr>
              <w:sym w:font="Symbol" w:char="F0AF"/>
            </w:r>
            <w:r w:rsidRPr="00FB3620">
              <w:rPr>
                <w:rFonts w:ascii="Arial" w:hAnsi="Arial" w:cs="Arial"/>
                <w:sz w:val="18"/>
                <w:szCs w:val="18"/>
              </w:rPr>
              <w:t>) Vm.</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26±10</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27±5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32±10</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27±8</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24±9</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1,07</w:t>
            </w:r>
          </w:p>
        </w:tc>
      </w:tr>
      <w:tr w:rsidR="00FB3620" w:rsidRPr="00FB3620" w:rsidTr="00DF11CD">
        <w:tc>
          <w:tcPr>
            <w:tcW w:w="849" w:type="pct"/>
          </w:tcPr>
          <w:p w:rsidR="00FB3620" w:rsidRPr="00FB3620" w:rsidRDefault="00FB3620" w:rsidP="00DF11CD">
            <w:pPr>
              <w:ind w:right="-177"/>
              <w:rPr>
                <w:rFonts w:ascii="Arial" w:hAnsi="Arial" w:cs="Arial"/>
                <w:sz w:val="18"/>
                <w:szCs w:val="18"/>
              </w:rPr>
            </w:pPr>
            <w:r w:rsidRPr="00FB3620">
              <w:rPr>
                <w:rFonts w:ascii="Arial" w:hAnsi="Arial" w:cs="Arial"/>
                <w:sz w:val="18"/>
                <w:szCs w:val="18"/>
              </w:rPr>
              <w:t>İpsi HPV Δ (%</w:t>
            </w:r>
            <w:r w:rsidRPr="00FB3620">
              <w:rPr>
                <w:rFonts w:ascii="Arial" w:hAnsi="Arial" w:cs="Arial"/>
                <w:sz w:val="18"/>
                <w:szCs w:val="18"/>
              </w:rPr>
              <w:sym w:font="Symbol" w:char="F0AF"/>
            </w:r>
            <w:r w:rsidRPr="00FB3620">
              <w:rPr>
                <w:rFonts w:ascii="Arial" w:hAnsi="Arial" w:cs="Arial"/>
                <w:sz w:val="18"/>
                <w:szCs w:val="18"/>
              </w:rPr>
              <w:t>) Vm.</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26±14</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28±6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24±6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35±9</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28±9</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25±8</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1,57</w:t>
            </w:r>
          </w:p>
        </w:tc>
      </w:tr>
      <w:tr w:rsidR="00FB3620" w:rsidRPr="00FB3620" w:rsidTr="00DF11CD">
        <w:tc>
          <w:tcPr>
            <w:tcW w:w="849" w:type="pct"/>
          </w:tcPr>
          <w:p w:rsidR="00FB3620" w:rsidRPr="00FB3620" w:rsidRDefault="00FB3620" w:rsidP="00DF11CD">
            <w:pPr>
              <w:ind w:right="-177"/>
              <w:rPr>
                <w:rFonts w:ascii="Arial" w:hAnsi="Arial" w:cs="Arial"/>
                <w:sz w:val="18"/>
                <w:szCs w:val="18"/>
              </w:rPr>
            </w:pPr>
            <w:r w:rsidRPr="00FB3620">
              <w:rPr>
                <w:rFonts w:ascii="Arial" w:hAnsi="Arial" w:cs="Arial"/>
                <w:sz w:val="18"/>
                <w:szCs w:val="18"/>
              </w:rPr>
              <w:t>Kontr HPV Δ (%</w:t>
            </w:r>
            <w:r w:rsidRPr="00FB3620">
              <w:rPr>
                <w:rFonts w:ascii="Arial" w:hAnsi="Arial" w:cs="Arial"/>
                <w:sz w:val="18"/>
                <w:szCs w:val="18"/>
              </w:rPr>
              <w:sym w:font="Symbol" w:char="F0AF"/>
            </w:r>
            <w:r w:rsidRPr="00FB3620">
              <w:rPr>
                <w:rFonts w:ascii="Arial" w:hAnsi="Arial" w:cs="Arial"/>
                <w:sz w:val="18"/>
                <w:szCs w:val="18"/>
              </w:rPr>
              <w:t>) Vm.</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26±8</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27±6</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32±9</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26±7</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23±11</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1,38</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t plato</w:t>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15,8±3,4</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17,3±3,1</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17,6±1,2</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16,3±2,5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15,1±3,9</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14,9±2,5</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1,17</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 xml:space="preserve">HPV Δ PI </w:t>
            </w:r>
            <w:r w:rsidRPr="00FB3620">
              <w:rPr>
                <w:rFonts w:ascii="Arial" w:hAnsi="Arial" w:cs="Arial"/>
                <w:sz w:val="18"/>
                <w:szCs w:val="18"/>
              </w:rPr>
              <w:sym w:font="Symbol" w:char="F0AD"/>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0,28±0,19</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0,15±0,12</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0,39±0,25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0,35±0,27</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0,30±0,21</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0,28±0,10</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1,37</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 xml:space="preserve">İpsi HPV Δ PI </w:t>
            </w:r>
            <w:r w:rsidRPr="00FB3620">
              <w:rPr>
                <w:rFonts w:ascii="Arial" w:hAnsi="Arial" w:cs="Arial"/>
                <w:sz w:val="18"/>
                <w:szCs w:val="18"/>
              </w:rPr>
              <w:sym w:font="Symbol" w:char="F0AD"/>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0,25±0,24</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0,17±0,15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0,32±0,21</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0,43±0,33</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0,31±0,21</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0,27±0,12</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1,51</w:t>
            </w:r>
          </w:p>
        </w:tc>
      </w:tr>
      <w:tr w:rsidR="00FB3620" w:rsidRPr="00FB3620" w:rsidTr="00DF11CD">
        <w:tc>
          <w:tcPr>
            <w:tcW w:w="849" w:type="pct"/>
          </w:tcPr>
          <w:p w:rsidR="00FB3620" w:rsidRPr="00FB3620" w:rsidRDefault="00FB3620" w:rsidP="00DF11CD">
            <w:pPr>
              <w:rPr>
                <w:rFonts w:ascii="Arial" w:hAnsi="Arial" w:cs="Arial"/>
                <w:sz w:val="18"/>
                <w:szCs w:val="18"/>
              </w:rPr>
            </w:pPr>
            <w:r w:rsidRPr="00FB3620">
              <w:rPr>
                <w:rFonts w:ascii="Arial" w:hAnsi="Arial" w:cs="Arial"/>
                <w:sz w:val="18"/>
                <w:szCs w:val="18"/>
              </w:rPr>
              <w:t xml:space="preserve">Kontr HPV Δ PI </w:t>
            </w:r>
            <w:r w:rsidRPr="00FB3620">
              <w:rPr>
                <w:rFonts w:ascii="Arial" w:hAnsi="Arial" w:cs="Arial"/>
                <w:sz w:val="18"/>
                <w:szCs w:val="18"/>
              </w:rPr>
              <w:sym w:font="Symbol" w:char="F0AD"/>
            </w:r>
          </w:p>
        </w:tc>
        <w:tc>
          <w:tcPr>
            <w:tcW w:w="656"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0,32±0,16</w:t>
            </w:r>
          </w:p>
        </w:tc>
        <w:tc>
          <w:tcPr>
            <w:tcW w:w="622"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0,14±0,14</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0,36±0,15</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0,35±0,22</w:t>
            </w:r>
          </w:p>
        </w:tc>
        <w:tc>
          <w:tcPr>
            <w:tcW w:w="601"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0,30±0,22</w:t>
            </w:r>
          </w:p>
        </w:tc>
        <w:tc>
          <w:tcPr>
            <w:tcW w:w="62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0,29±0,11</w:t>
            </w:r>
          </w:p>
        </w:tc>
        <w:tc>
          <w:tcPr>
            <w:tcW w:w="450" w:type="pct"/>
          </w:tcPr>
          <w:p w:rsidR="00FB3620" w:rsidRPr="00FB3620" w:rsidRDefault="00FB3620" w:rsidP="00DF11CD">
            <w:pPr>
              <w:jc w:val="center"/>
              <w:rPr>
                <w:rFonts w:ascii="Arial" w:hAnsi="Arial" w:cs="Arial"/>
                <w:sz w:val="18"/>
                <w:szCs w:val="18"/>
              </w:rPr>
            </w:pPr>
            <w:r w:rsidRPr="00FB3620">
              <w:rPr>
                <w:rFonts w:ascii="Arial" w:hAnsi="Arial" w:cs="Arial"/>
                <w:sz w:val="18"/>
                <w:szCs w:val="18"/>
              </w:rPr>
              <w:t>1.11</w:t>
            </w:r>
          </w:p>
        </w:tc>
      </w:tr>
    </w:tbl>
    <w:p w:rsidR="00FB3620" w:rsidRDefault="00FB3620" w:rsidP="00461F9A">
      <w:pPr>
        <w:spacing w:line="360" w:lineRule="auto"/>
        <w:ind w:firstLine="567"/>
        <w:jc w:val="both"/>
        <w:rPr>
          <w:rFonts w:ascii="Arial" w:hAnsi="Arial" w:cs="Arial"/>
          <w:b/>
          <w:sz w:val="24"/>
          <w:szCs w:val="24"/>
        </w:rPr>
        <w:sectPr w:rsidR="00FB3620" w:rsidSect="00FB3620">
          <w:pgSz w:w="16838" w:h="11906" w:orient="landscape" w:code="9"/>
          <w:pgMar w:top="2268" w:right="1701" w:bottom="1418" w:left="1701" w:header="709" w:footer="709" w:gutter="0"/>
          <w:cols w:space="708"/>
          <w:docGrid w:linePitch="360"/>
        </w:sectPr>
      </w:pPr>
    </w:p>
    <w:p w:rsidR="00E659A9" w:rsidRDefault="00E659A9" w:rsidP="009C3BAE">
      <w:pPr>
        <w:pStyle w:val="Tablolar6"/>
        <w:spacing w:before="120"/>
      </w:pPr>
      <w:bookmarkStart w:id="44" w:name="_Toc492677369"/>
      <w:r w:rsidRPr="00461F9A">
        <w:lastRenderedPageBreak/>
        <w:t xml:space="preserve">Tablo </w:t>
      </w:r>
      <w:proofErr w:type="gramStart"/>
      <w:r w:rsidR="009C3BAE">
        <w:t>3.4</w:t>
      </w:r>
      <w:proofErr w:type="gramEnd"/>
      <w:r w:rsidR="009C3BAE">
        <w:t>.</w:t>
      </w:r>
      <w:r w:rsidRPr="00461F9A">
        <w:t xml:space="preserve"> </w:t>
      </w:r>
      <w:r w:rsidRPr="009C3BAE">
        <w:rPr>
          <w:b w:val="0"/>
        </w:rPr>
        <w:t>Migrenli grupta bazal VMR</w:t>
      </w:r>
      <w:bookmarkEnd w:id="44"/>
    </w:p>
    <w:tbl>
      <w:tblPr>
        <w:tblStyle w:val="TabloKlavuzu"/>
        <w:tblW w:w="5000" w:type="pct"/>
        <w:tblLook w:val="04A0" w:firstRow="1" w:lastRow="0" w:firstColumn="1" w:lastColumn="0" w:noHBand="0" w:noVBand="1"/>
      </w:tblPr>
      <w:tblGrid>
        <w:gridCol w:w="2625"/>
        <w:gridCol w:w="2099"/>
        <w:gridCol w:w="2099"/>
        <w:gridCol w:w="1397"/>
      </w:tblGrid>
      <w:tr w:rsidR="009C3BAE" w:rsidRPr="00A108F7" w:rsidTr="00A108F7">
        <w:tc>
          <w:tcPr>
            <w:tcW w:w="1596" w:type="pct"/>
            <w:tcBorders>
              <w:top w:val="nil"/>
              <w:left w:val="nil"/>
              <w:right w:val="nil"/>
            </w:tcBorders>
            <w:shd w:val="clear" w:color="auto" w:fill="auto"/>
          </w:tcPr>
          <w:p w:rsidR="009C3BAE" w:rsidRPr="00A108F7" w:rsidRDefault="009C3BAE">
            <w:pPr>
              <w:rPr>
                <w:rFonts w:ascii="Arial" w:hAnsi="Arial" w:cs="Arial"/>
                <w:b/>
                <w:sz w:val="20"/>
                <w:szCs w:val="20"/>
              </w:rPr>
            </w:pPr>
          </w:p>
        </w:tc>
        <w:tc>
          <w:tcPr>
            <w:tcW w:w="1277" w:type="pct"/>
            <w:tcBorders>
              <w:top w:val="nil"/>
              <w:left w:val="nil"/>
              <w:right w:val="nil"/>
            </w:tcBorders>
            <w:shd w:val="clear" w:color="auto" w:fill="auto"/>
          </w:tcPr>
          <w:p w:rsidR="009C3BAE" w:rsidRPr="00A108F7" w:rsidRDefault="009C3BAE" w:rsidP="00461F9A">
            <w:pPr>
              <w:ind w:right="5"/>
              <w:jc w:val="center"/>
              <w:rPr>
                <w:rFonts w:ascii="Arial" w:hAnsi="Arial" w:cs="Arial"/>
                <w:b/>
                <w:sz w:val="20"/>
                <w:szCs w:val="20"/>
              </w:rPr>
            </w:pPr>
            <w:r w:rsidRPr="00A108F7">
              <w:rPr>
                <w:rFonts w:ascii="Arial" w:hAnsi="Arial" w:cs="Arial"/>
                <w:b/>
                <w:sz w:val="20"/>
                <w:szCs w:val="20"/>
              </w:rPr>
              <w:t>PFO (+)</w:t>
            </w:r>
          </w:p>
        </w:tc>
        <w:tc>
          <w:tcPr>
            <w:tcW w:w="1277" w:type="pct"/>
            <w:tcBorders>
              <w:top w:val="nil"/>
              <w:left w:val="nil"/>
              <w:right w:val="nil"/>
            </w:tcBorders>
            <w:shd w:val="clear" w:color="auto" w:fill="auto"/>
          </w:tcPr>
          <w:p w:rsidR="009C3BAE" w:rsidRPr="00A108F7" w:rsidRDefault="009C3BAE">
            <w:pPr>
              <w:jc w:val="center"/>
              <w:rPr>
                <w:rFonts w:ascii="Arial" w:hAnsi="Arial" w:cs="Arial"/>
                <w:b/>
                <w:sz w:val="20"/>
                <w:szCs w:val="20"/>
              </w:rPr>
            </w:pPr>
            <w:r w:rsidRPr="00A108F7">
              <w:rPr>
                <w:rFonts w:ascii="Arial" w:hAnsi="Arial" w:cs="Arial"/>
                <w:b/>
                <w:sz w:val="20"/>
                <w:szCs w:val="20"/>
              </w:rPr>
              <w:t>PFO (-)</w:t>
            </w:r>
          </w:p>
        </w:tc>
        <w:tc>
          <w:tcPr>
            <w:tcW w:w="851" w:type="pct"/>
            <w:tcBorders>
              <w:top w:val="nil"/>
              <w:left w:val="nil"/>
              <w:right w:val="nil"/>
            </w:tcBorders>
            <w:shd w:val="clear" w:color="auto" w:fill="auto"/>
          </w:tcPr>
          <w:p w:rsidR="009C3BAE" w:rsidRPr="00A108F7" w:rsidRDefault="009C3BAE" w:rsidP="00461F9A">
            <w:pPr>
              <w:rPr>
                <w:rFonts w:ascii="Arial" w:hAnsi="Arial" w:cs="Arial"/>
                <w:b/>
                <w:sz w:val="20"/>
                <w:szCs w:val="20"/>
              </w:rPr>
            </w:pPr>
          </w:p>
        </w:tc>
      </w:tr>
      <w:tr w:rsidR="00E659A9" w:rsidRPr="00A108F7" w:rsidTr="00A108F7">
        <w:tc>
          <w:tcPr>
            <w:tcW w:w="1596" w:type="pct"/>
            <w:shd w:val="clear" w:color="auto" w:fill="E7E6E6" w:themeFill="background2"/>
          </w:tcPr>
          <w:p w:rsidR="00E659A9" w:rsidRPr="00A108F7" w:rsidRDefault="00E659A9">
            <w:pPr>
              <w:rPr>
                <w:rFonts w:ascii="Arial" w:hAnsi="Arial" w:cs="Arial"/>
                <w:b/>
                <w:sz w:val="20"/>
                <w:szCs w:val="20"/>
              </w:rPr>
            </w:pPr>
          </w:p>
        </w:tc>
        <w:tc>
          <w:tcPr>
            <w:tcW w:w="1277" w:type="pct"/>
            <w:shd w:val="clear" w:color="auto" w:fill="E7E6E6" w:themeFill="background2"/>
          </w:tcPr>
          <w:p w:rsidR="00E659A9" w:rsidRPr="00A108F7" w:rsidRDefault="00E659A9" w:rsidP="00461F9A">
            <w:pPr>
              <w:ind w:right="5"/>
              <w:jc w:val="center"/>
              <w:rPr>
                <w:rFonts w:ascii="Arial" w:hAnsi="Arial" w:cs="Arial"/>
                <w:b/>
                <w:sz w:val="20"/>
                <w:szCs w:val="20"/>
              </w:rPr>
            </w:pPr>
            <w:r w:rsidRPr="00A108F7">
              <w:rPr>
                <w:rFonts w:ascii="Arial" w:hAnsi="Arial" w:cs="Arial"/>
                <w:b/>
                <w:sz w:val="20"/>
                <w:szCs w:val="20"/>
              </w:rPr>
              <w:t>n=18</w:t>
            </w:r>
          </w:p>
        </w:tc>
        <w:tc>
          <w:tcPr>
            <w:tcW w:w="1277" w:type="pct"/>
            <w:shd w:val="clear" w:color="auto" w:fill="E7E6E6" w:themeFill="background2"/>
          </w:tcPr>
          <w:p w:rsidR="00E659A9" w:rsidRPr="00A108F7" w:rsidRDefault="00E659A9">
            <w:pPr>
              <w:jc w:val="center"/>
              <w:rPr>
                <w:rFonts w:ascii="Arial" w:hAnsi="Arial" w:cs="Arial"/>
                <w:b/>
                <w:sz w:val="20"/>
                <w:szCs w:val="20"/>
              </w:rPr>
            </w:pPr>
            <w:r w:rsidRPr="00A108F7">
              <w:rPr>
                <w:rFonts w:ascii="Arial" w:hAnsi="Arial" w:cs="Arial"/>
                <w:b/>
                <w:sz w:val="20"/>
                <w:szCs w:val="20"/>
              </w:rPr>
              <w:t>n=20</w:t>
            </w:r>
          </w:p>
        </w:tc>
        <w:tc>
          <w:tcPr>
            <w:tcW w:w="851" w:type="pct"/>
            <w:shd w:val="clear" w:color="auto" w:fill="E7E6E6" w:themeFill="background2"/>
          </w:tcPr>
          <w:p w:rsidR="00E659A9" w:rsidRPr="00A108F7" w:rsidRDefault="00E659A9" w:rsidP="00461F9A">
            <w:pPr>
              <w:rPr>
                <w:rFonts w:ascii="Arial" w:hAnsi="Arial" w:cs="Arial"/>
                <w:b/>
                <w:sz w:val="20"/>
                <w:szCs w:val="20"/>
              </w:rPr>
            </w:pPr>
            <w:r w:rsidRPr="00A108F7">
              <w:rPr>
                <w:rFonts w:ascii="Arial" w:hAnsi="Arial" w:cs="Arial"/>
                <w:b/>
                <w:sz w:val="20"/>
                <w:szCs w:val="20"/>
              </w:rPr>
              <w:t>P</w:t>
            </w:r>
          </w:p>
        </w:tc>
      </w:tr>
      <w:tr w:rsidR="00E659A9" w:rsidRPr="00A108F7" w:rsidTr="00A108F7">
        <w:tc>
          <w:tcPr>
            <w:tcW w:w="5000" w:type="pct"/>
            <w:gridSpan w:val="4"/>
            <w:shd w:val="clear" w:color="auto" w:fill="F2F2F2" w:themeFill="background1" w:themeFillShade="F2"/>
          </w:tcPr>
          <w:p w:rsidR="00E659A9" w:rsidRPr="00A108F7" w:rsidRDefault="00E659A9">
            <w:pPr>
              <w:jc w:val="center"/>
              <w:rPr>
                <w:rFonts w:ascii="Arial" w:hAnsi="Arial" w:cs="Arial"/>
                <w:b/>
                <w:sz w:val="18"/>
                <w:szCs w:val="18"/>
              </w:rPr>
            </w:pPr>
            <w:r w:rsidRPr="00A108F7">
              <w:rPr>
                <w:rFonts w:ascii="Arial" w:hAnsi="Arial" w:cs="Arial"/>
                <w:b/>
                <w:sz w:val="18"/>
                <w:szCs w:val="18"/>
              </w:rPr>
              <w:t>PCA</w:t>
            </w:r>
          </w:p>
        </w:tc>
      </w:tr>
      <w:tr w:rsidR="00E659A9" w:rsidRPr="00A108F7" w:rsidTr="00A108F7">
        <w:tc>
          <w:tcPr>
            <w:tcW w:w="5000" w:type="pct"/>
            <w:gridSpan w:val="4"/>
            <w:shd w:val="clear" w:color="auto" w:fill="F2F2F2" w:themeFill="background1" w:themeFillShade="F2"/>
          </w:tcPr>
          <w:p w:rsidR="00E659A9" w:rsidRPr="00A108F7" w:rsidRDefault="00E659A9">
            <w:pPr>
              <w:jc w:val="center"/>
              <w:rPr>
                <w:rFonts w:ascii="Arial" w:hAnsi="Arial" w:cs="Arial"/>
                <w:sz w:val="18"/>
                <w:szCs w:val="18"/>
              </w:rPr>
            </w:pPr>
            <w:r w:rsidRPr="00A108F7">
              <w:rPr>
                <w:rFonts w:ascii="Arial" w:hAnsi="Arial" w:cs="Arial"/>
                <w:sz w:val="18"/>
                <w:szCs w:val="18"/>
              </w:rPr>
              <w:t>BHI</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Bazal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43±7</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47±9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0,140</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Bazal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0,69±0,14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0,72±0,11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0,363</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37±13</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39±17</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0,573</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Dip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0,73±0,29</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0,71±0,33</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0,897</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Δ (%) 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-9,5±9,8</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-8,9±10,9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0,891</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Δ Dip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0,061±0,047</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0,066±0,099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0,875</w:t>
            </w:r>
          </w:p>
        </w:tc>
      </w:tr>
      <w:tr w:rsidR="00E659A9" w:rsidRPr="00A108F7" w:rsidTr="00A108F7">
        <w:tc>
          <w:tcPr>
            <w:tcW w:w="1596" w:type="pct"/>
            <w:shd w:val="clear" w:color="auto" w:fill="auto"/>
          </w:tcPr>
          <w:p w:rsidR="00E659A9" w:rsidRPr="00A108F7" w:rsidRDefault="00E659A9">
            <w:pPr>
              <w:rPr>
                <w:rFonts w:ascii="Arial" w:hAnsi="Arial" w:cs="Arial"/>
                <w:sz w:val="18"/>
                <w:szCs w:val="18"/>
              </w:rPr>
            </w:pPr>
            <w:r w:rsidRPr="00A108F7">
              <w:rPr>
                <w:rFonts w:ascii="Arial" w:hAnsi="Arial" w:cs="Arial"/>
                <w:sz w:val="18"/>
                <w:szCs w:val="18"/>
              </w:rPr>
              <w:t>t dip</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8,1±3,8</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8,0±4,1</w:t>
            </w:r>
          </w:p>
        </w:tc>
        <w:tc>
          <w:tcPr>
            <w:tcW w:w="851" w:type="pct"/>
            <w:shd w:val="clear" w:color="auto" w:fill="auto"/>
          </w:tcPr>
          <w:p w:rsidR="00E659A9" w:rsidRPr="00A108F7" w:rsidRDefault="00E659A9" w:rsidP="00461F9A">
            <w:pPr>
              <w:rPr>
                <w:rFonts w:ascii="Arial" w:hAnsi="Arial" w:cs="Arial"/>
                <w:sz w:val="18"/>
                <w:szCs w:val="18"/>
              </w:rPr>
            </w:pPr>
            <w:r w:rsidRPr="00A108F7">
              <w:rPr>
                <w:rFonts w:ascii="Arial" w:hAnsi="Arial" w:cs="Arial"/>
                <w:sz w:val="18"/>
                <w:szCs w:val="18"/>
              </w:rPr>
              <w:t>0,932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Apne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56±12</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65±13</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0,043</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Apne Δ (%)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29±12</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38±14</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0,051</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shd w:val="clear" w:color="auto" w:fill="auto"/>
          </w:tcPr>
          <w:p w:rsidR="00E659A9" w:rsidRPr="00A108F7" w:rsidRDefault="00E659A9">
            <w:pPr>
              <w:rPr>
                <w:rFonts w:ascii="Arial" w:hAnsi="Arial" w:cs="Arial"/>
                <w:sz w:val="18"/>
                <w:szCs w:val="18"/>
              </w:rPr>
            </w:pPr>
            <w:r w:rsidRPr="00A108F7">
              <w:rPr>
                <w:rFonts w:ascii="Arial" w:hAnsi="Arial" w:cs="Arial"/>
                <w:sz w:val="18"/>
                <w:szCs w:val="18"/>
              </w:rPr>
              <w:t>BHI</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1,01±0,40</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1,25±0,46</w:t>
            </w:r>
          </w:p>
        </w:tc>
        <w:tc>
          <w:tcPr>
            <w:tcW w:w="851" w:type="pct"/>
            <w:shd w:val="clear" w:color="auto" w:fill="auto"/>
          </w:tcPr>
          <w:p w:rsidR="00E659A9" w:rsidRPr="00A108F7" w:rsidRDefault="00E659A9" w:rsidP="00461F9A">
            <w:pPr>
              <w:rPr>
                <w:rFonts w:ascii="Arial" w:hAnsi="Arial" w:cs="Arial"/>
                <w:sz w:val="18"/>
                <w:szCs w:val="18"/>
              </w:rPr>
            </w:pPr>
            <w:r w:rsidRPr="00A108F7">
              <w:rPr>
                <w:rFonts w:ascii="Arial" w:hAnsi="Arial" w:cs="Arial"/>
                <w:sz w:val="18"/>
                <w:szCs w:val="18"/>
              </w:rPr>
              <w:t>0.090</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Δ (%) Dip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-11,3±8,4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-8,9±7,5</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0,432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Δ (%) Dip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-10,7±9,0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-7,9±13,0</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0,512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Ipsilateral BHI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0,96±0,42</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1,23±0,52</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0,058</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Kontrlateral BHI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1,05±0,46</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1,27±0,52</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0,194</w:t>
            </w:r>
          </w:p>
        </w:tc>
      </w:tr>
      <w:tr w:rsidR="00E659A9" w:rsidRPr="00A108F7" w:rsidTr="00A108F7">
        <w:tc>
          <w:tcPr>
            <w:tcW w:w="5000" w:type="pct"/>
            <w:gridSpan w:val="4"/>
            <w:shd w:val="clear" w:color="auto" w:fill="F2F2F2" w:themeFill="background1" w:themeFillShade="F2"/>
          </w:tcPr>
          <w:p w:rsidR="00E659A9" w:rsidRPr="00A108F7" w:rsidRDefault="00E659A9">
            <w:pPr>
              <w:jc w:val="center"/>
              <w:rPr>
                <w:rFonts w:ascii="Arial" w:hAnsi="Arial" w:cs="Arial"/>
                <w:sz w:val="18"/>
                <w:szCs w:val="18"/>
              </w:rPr>
            </w:pPr>
            <w:r w:rsidRPr="00A108F7">
              <w:rPr>
                <w:rFonts w:ascii="Arial" w:hAnsi="Arial" w:cs="Arial"/>
                <w:sz w:val="18"/>
                <w:szCs w:val="18"/>
              </w:rPr>
              <w:t>HPV</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HPV Δ (%</w:t>
            </w:r>
            <w:r w:rsidRPr="00A108F7">
              <w:rPr>
                <w:rFonts w:ascii="Arial" w:hAnsi="Arial" w:cs="Arial"/>
                <w:sz w:val="18"/>
                <w:szCs w:val="18"/>
              </w:rPr>
              <w:sym w:font="Symbol" w:char="F0AF"/>
            </w:r>
            <w:r w:rsidRPr="00A108F7">
              <w:rPr>
                <w:rFonts w:ascii="Arial" w:hAnsi="Arial" w:cs="Arial"/>
                <w:sz w:val="18"/>
                <w:szCs w:val="18"/>
              </w:rPr>
              <w:t>)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28±11</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28±7</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0,938</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HPV Δ (%</w:t>
            </w:r>
            <w:r w:rsidRPr="00A108F7">
              <w:rPr>
                <w:rFonts w:ascii="Arial" w:hAnsi="Arial" w:cs="Arial"/>
                <w:sz w:val="18"/>
                <w:szCs w:val="18"/>
              </w:rPr>
              <w:sym w:font="Symbol" w:char="F0AF"/>
            </w:r>
            <w:r w:rsidRPr="00A108F7">
              <w:rPr>
                <w:rFonts w:ascii="Arial" w:hAnsi="Arial" w:cs="Arial"/>
                <w:sz w:val="18"/>
                <w:szCs w:val="18"/>
              </w:rPr>
              <w:t>)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29±10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28±7</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0,725</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HPV Δ (%</w:t>
            </w:r>
            <w:r w:rsidRPr="00A108F7">
              <w:rPr>
                <w:rFonts w:ascii="Arial" w:hAnsi="Arial" w:cs="Arial"/>
                <w:sz w:val="18"/>
                <w:szCs w:val="18"/>
              </w:rPr>
              <w:sym w:font="Symbol" w:char="F0AF"/>
            </w:r>
            <w:r w:rsidRPr="00A108F7">
              <w:rPr>
                <w:rFonts w:ascii="Arial" w:hAnsi="Arial" w:cs="Arial"/>
                <w:sz w:val="18"/>
                <w:szCs w:val="18"/>
              </w:rPr>
              <w:t>)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29±10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28±7</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0,597</w:t>
            </w:r>
          </w:p>
        </w:tc>
      </w:tr>
      <w:tr w:rsidR="00E659A9" w:rsidRPr="00A108F7" w:rsidTr="00A108F7">
        <w:tc>
          <w:tcPr>
            <w:tcW w:w="1596" w:type="pct"/>
            <w:shd w:val="clear" w:color="auto" w:fill="auto"/>
          </w:tcPr>
          <w:p w:rsidR="00E659A9" w:rsidRPr="00A108F7" w:rsidRDefault="00E659A9">
            <w:pPr>
              <w:rPr>
                <w:rFonts w:ascii="Arial" w:hAnsi="Arial" w:cs="Arial"/>
                <w:sz w:val="18"/>
                <w:szCs w:val="18"/>
              </w:rPr>
            </w:pPr>
            <w:r w:rsidRPr="00A108F7">
              <w:rPr>
                <w:rFonts w:ascii="Arial" w:hAnsi="Arial" w:cs="Arial"/>
                <w:sz w:val="18"/>
                <w:szCs w:val="18"/>
              </w:rPr>
              <w:t>t plato</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15,2±4,2</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16,2±3,1</w:t>
            </w:r>
          </w:p>
        </w:tc>
        <w:tc>
          <w:tcPr>
            <w:tcW w:w="851" w:type="pct"/>
            <w:shd w:val="clear" w:color="auto" w:fill="auto"/>
          </w:tcPr>
          <w:p w:rsidR="00E659A9" w:rsidRPr="00A108F7" w:rsidRDefault="00E659A9" w:rsidP="00461F9A">
            <w:pPr>
              <w:rPr>
                <w:rFonts w:ascii="Arial" w:hAnsi="Arial" w:cs="Arial"/>
                <w:sz w:val="18"/>
                <w:szCs w:val="18"/>
              </w:rPr>
            </w:pPr>
            <w:r w:rsidRPr="00A108F7">
              <w:rPr>
                <w:rFonts w:ascii="Arial" w:hAnsi="Arial" w:cs="Arial"/>
                <w:sz w:val="18"/>
                <w:szCs w:val="18"/>
              </w:rPr>
              <w:t>0,417</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0,33±0,21</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0,37±0,24</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0,646</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0,26±0,21</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0,40±0,30</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0,251</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0,27±0,24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0,34±0,21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0,980</w:t>
            </w:r>
          </w:p>
        </w:tc>
      </w:tr>
      <w:tr w:rsidR="00E659A9" w:rsidRPr="00A108F7" w:rsidTr="00A108F7">
        <w:tc>
          <w:tcPr>
            <w:tcW w:w="5000" w:type="pct"/>
            <w:gridSpan w:val="4"/>
            <w:shd w:val="clear" w:color="auto" w:fill="F2F2F2" w:themeFill="background1" w:themeFillShade="F2"/>
          </w:tcPr>
          <w:p w:rsidR="00E659A9" w:rsidRPr="00A108F7" w:rsidRDefault="00E659A9">
            <w:pPr>
              <w:jc w:val="center"/>
              <w:rPr>
                <w:rFonts w:ascii="Arial" w:hAnsi="Arial" w:cs="Arial"/>
                <w:b/>
                <w:sz w:val="18"/>
                <w:szCs w:val="18"/>
              </w:rPr>
            </w:pPr>
            <w:r w:rsidRPr="00A108F7">
              <w:rPr>
                <w:rFonts w:ascii="Arial" w:hAnsi="Arial" w:cs="Arial"/>
                <w:b/>
                <w:sz w:val="18"/>
                <w:szCs w:val="18"/>
              </w:rPr>
              <w:t>MCA</w:t>
            </w:r>
          </w:p>
        </w:tc>
      </w:tr>
      <w:tr w:rsidR="00E659A9" w:rsidRPr="00A108F7" w:rsidTr="00A108F7">
        <w:tc>
          <w:tcPr>
            <w:tcW w:w="5000" w:type="pct"/>
            <w:gridSpan w:val="4"/>
            <w:shd w:val="clear" w:color="auto" w:fill="F2F2F2" w:themeFill="background1" w:themeFillShade="F2"/>
          </w:tcPr>
          <w:p w:rsidR="00E659A9" w:rsidRPr="00A108F7" w:rsidRDefault="00E659A9">
            <w:pPr>
              <w:jc w:val="center"/>
              <w:rPr>
                <w:rFonts w:ascii="Arial" w:hAnsi="Arial" w:cs="Arial"/>
                <w:sz w:val="18"/>
                <w:szCs w:val="18"/>
              </w:rPr>
            </w:pPr>
            <w:r w:rsidRPr="00A108F7">
              <w:rPr>
                <w:rFonts w:ascii="Arial" w:hAnsi="Arial" w:cs="Arial"/>
                <w:sz w:val="18"/>
                <w:szCs w:val="18"/>
              </w:rPr>
              <w:t>BHI</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Bazal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65±10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65±9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0,926</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Bazal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0,67±0,09</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0,76±0,11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0,012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59±10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63±9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0,319</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Dip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0,73±0,11</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0,85±0,13</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0,002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Δ (%) 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-11,4±10,4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-6,7±8,1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0,142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Δ Dip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-0,058±0,07</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-0,115±0,111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0,068</w:t>
            </w:r>
          </w:p>
        </w:tc>
      </w:tr>
      <w:tr w:rsidR="00E659A9" w:rsidRPr="00A108F7" w:rsidTr="00A108F7">
        <w:tc>
          <w:tcPr>
            <w:tcW w:w="1596" w:type="pct"/>
            <w:shd w:val="clear" w:color="auto" w:fill="auto"/>
          </w:tcPr>
          <w:p w:rsidR="00E659A9" w:rsidRPr="00A108F7" w:rsidRDefault="00E659A9">
            <w:pPr>
              <w:rPr>
                <w:rFonts w:ascii="Arial" w:hAnsi="Arial" w:cs="Arial"/>
                <w:sz w:val="18"/>
                <w:szCs w:val="18"/>
              </w:rPr>
            </w:pPr>
            <w:r w:rsidRPr="00A108F7">
              <w:rPr>
                <w:rFonts w:ascii="Arial" w:hAnsi="Arial" w:cs="Arial"/>
                <w:sz w:val="18"/>
                <w:szCs w:val="18"/>
              </w:rPr>
              <w:t>t dip</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11,0±3,1</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10,0±2,9</w:t>
            </w:r>
          </w:p>
        </w:tc>
        <w:tc>
          <w:tcPr>
            <w:tcW w:w="851" w:type="pct"/>
            <w:shd w:val="clear" w:color="auto" w:fill="auto"/>
          </w:tcPr>
          <w:p w:rsidR="00E659A9" w:rsidRPr="00A108F7" w:rsidRDefault="00E659A9" w:rsidP="00461F9A">
            <w:pPr>
              <w:rPr>
                <w:rFonts w:ascii="Arial" w:hAnsi="Arial" w:cs="Arial"/>
                <w:sz w:val="18"/>
                <w:szCs w:val="18"/>
              </w:rPr>
            </w:pPr>
            <w:r w:rsidRPr="00A108F7">
              <w:rPr>
                <w:rFonts w:ascii="Arial" w:hAnsi="Arial" w:cs="Arial"/>
                <w:sz w:val="18"/>
                <w:szCs w:val="18"/>
              </w:rPr>
              <w:t>0,298</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Apne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83±15</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93±16</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0,050</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Apne Δ (%)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28±14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41±10</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0,002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BHI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1,04±0,67</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1,43±0,39</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0,032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Δ (%) 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-10,5±11,2</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-7,1±9,6</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0,356</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Δ(%)Dip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-12,4±10,5</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-5,1±8,0</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0,032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Ipsilateral BHI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1,03±0,72</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1,41±0,42</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0,056</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Kontrlateral BHI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1,04±0,64</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1,44±0,41</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0,028</w:t>
            </w:r>
          </w:p>
        </w:tc>
      </w:tr>
      <w:tr w:rsidR="00E659A9" w:rsidRPr="00A108F7" w:rsidTr="00A108F7">
        <w:tc>
          <w:tcPr>
            <w:tcW w:w="5000" w:type="pct"/>
            <w:gridSpan w:val="4"/>
            <w:shd w:val="clear" w:color="auto" w:fill="F2F2F2" w:themeFill="background1" w:themeFillShade="F2"/>
          </w:tcPr>
          <w:p w:rsidR="00E659A9" w:rsidRPr="00A108F7" w:rsidRDefault="00E659A9" w:rsidP="00461F9A">
            <w:pPr>
              <w:rPr>
                <w:rFonts w:ascii="Arial" w:hAnsi="Arial" w:cs="Arial"/>
                <w:sz w:val="18"/>
                <w:szCs w:val="18"/>
              </w:rPr>
            </w:pPr>
            <w:r w:rsidRPr="00A108F7">
              <w:rPr>
                <w:rFonts w:ascii="Arial" w:hAnsi="Arial" w:cs="Arial"/>
                <w:sz w:val="18"/>
                <w:szCs w:val="18"/>
              </w:rPr>
              <w:t>HPV</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HPV Δ (%</w:t>
            </w:r>
            <w:r w:rsidRPr="00A108F7">
              <w:rPr>
                <w:rFonts w:ascii="Arial" w:hAnsi="Arial" w:cs="Arial"/>
                <w:sz w:val="18"/>
                <w:szCs w:val="18"/>
              </w:rPr>
              <w:sym w:font="Symbol" w:char="F0AF"/>
            </w:r>
            <w:r w:rsidRPr="00A108F7">
              <w:rPr>
                <w:rFonts w:ascii="Arial" w:hAnsi="Arial" w:cs="Arial"/>
                <w:sz w:val="18"/>
                <w:szCs w:val="18"/>
              </w:rPr>
              <w:t>) Vmean</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26±78</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0,580</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HPV Δ (%</w:t>
            </w:r>
            <w:r w:rsidRPr="00A108F7">
              <w:rPr>
                <w:rFonts w:ascii="Arial" w:hAnsi="Arial" w:cs="Arial"/>
                <w:sz w:val="18"/>
                <w:szCs w:val="18"/>
              </w:rPr>
              <w:sym w:font="Symbol" w:char="F0AF"/>
            </w:r>
            <w:r w:rsidRPr="00A108F7">
              <w:rPr>
                <w:rFonts w:ascii="Arial" w:hAnsi="Arial" w:cs="Arial"/>
                <w:sz w:val="18"/>
                <w:szCs w:val="18"/>
              </w:rPr>
              <w:t>)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29±10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26±8</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0,266</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HPV Δ (%</w:t>
            </w:r>
            <w:r w:rsidRPr="00A108F7">
              <w:rPr>
                <w:rFonts w:ascii="Arial" w:hAnsi="Arial" w:cs="Arial"/>
                <w:sz w:val="18"/>
                <w:szCs w:val="18"/>
              </w:rPr>
              <w:sym w:font="Symbol" w:char="F0AF"/>
            </w:r>
            <w:r w:rsidRPr="00A108F7">
              <w:rPr>
                <w:rFonts w:ascii="Arial" w:hAnsi="Arial" w:cs="Arial"/>
                <w:sz w:val="18"/>
                <w:szCs w:val="18"/>
              </w:rPr>
              <w:t>) Vm.</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28±11</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26±6</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0,702</w:t>
            </w:r>
          </w:p>
        </w:tc>
      </w:tr>
      <w:tr w:rsidR="00E659A9" w:rsidRPr="00A108F7" w:rsidTr="00A108F7">
        <w:tc>
          <w:tcPr>
            <w:tcW w:w="1596" w:type="pct"/>
            <w:shd w:val="clear" w:color="auto" w:fill="auto"/>
          </w:tcPr>
          <w:p w:rsidR="00E659A9" w:rsidRPr="00A108F7" w:rsidRDefault="00E659A9">
            <w:pPr>
              <w:rPr>
                <w:rFonts w:ascii="Arial" w:hAnsi="Arial" w:cs="Arial"/>
                <w:sz w:val="18"/>
                <w:szCs w:val="18"/>
              </w:rPr>
            </w:pPr>
            <w:r w:rsidRPr="00A108F7">
              <w:rPr>
                <w:rFonts w:ascii="Arial" w:hAnsi="Arial" w:cs="Arial"/>
                <w:sz w:val="18"/>
                <w:szCs w:val="18"/>
              </w:rPr>
              <w:t>t plato</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15,6±2,5</w:t>
            </w:r>
          </w:p>
        </w:tc>
        <w:tc>
          <w:tcPr>
            <w:tcW w:w="1277" w:type="pct"/>
            <w:shd w:val="clear" w:color="auto" w:fill="auto"/>
          </w:tcPr>
          <w:p w:rsidR="00E659A9" w:rsidRPr="00A108F7" w:rsidRDefault="00E659A9">
            <w:pPr>
              <w:jc w:val="center"/>
              <w:rPr>
                <w:rFonts w:ascii="Arial" w:hAnsi="Arial" w:cs="Arial"/>
                <w:sz w:val="18"/>
                <w:szCs w:val="18"/>
              </w:rPr>
            </w:pPr>
            <w:r w:rsidRPr="00A108F7">
              <w:rPr>
                <w:rFonts w:ascii="Arial" w:hAnsi="Arial" w:cs="Arial"/>
                <w:sz w:val="18"/>
                <w:szCs w:val="18"/>
              </w:rPr>
              <w:t>16,3±3,1</w:t>
            </w:r>
          </w:p>
        </w:tc>
        <w:tc>
          <w:tcPr>
            <w:tcW w:w="851" w:type="pct"/>
            <w:shd w:val="clear" w:color="auto" w:fill="auto"/>
          </w:tcPr>
          <w:p w:rsidR="00E659A9" w:rsidRPr="00A108F7" w:rsidRDefault="00E659A9" w:rsidP="00461F9A">
            <w:pPr>
              <w:rPr>
                <w:rFonts w:ascii="Arial" w:hAnsi="Arial" w:cs="Arial"/>
                <w:sz w:val="18"/>
                <w:szCs w:val="18"/>
              </w:rPr>
            </w:pPr>
            <w:r w:rsidRPr="00A108F7">
              <w:rPr>
                <w:rFonts w:ascii="Arial" w:hAnsi="Arial" w:cs="Arial"/>
                <w:sz w:val="18"/>
                <w:szCs w:val="18"/>
              </w:rPr>
              <w:t>0,520</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0,31±0,20</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0,34±0,23</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0,672</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İpsi 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0,34±0,25</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0,32±0,20</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0,743</w:t>
            </w:r>
          </w:p>
        </w:tc>
      </w:tr>
      <w:tr w:rsidR="00E659A9" w:rsidRPr="00A108F7" w:rsidTr="00A108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pct"/>
          </w:tcPr>
          <w:p w:rsidR="00E659A9" w:rsidRPr="00A108F7" w:rsidRDefault="00E659A9">
            <w:pPr>
              <w:rPr>
                <w:rFonts w:ascii="Arial" w:hAnsi="Arial" w:cs="Arial"/>
                <w:sz w:val="18"/>
                <w:szCs w:val="18"/>
              </w:rPr>
            </w:pPr>
            <w:r w:rsidRPr="00A108F7">
              <w:rPr>
                <w:rFonts w:ascii="Arial" w:hAnsi="Arial" w:cs="Arial"/>
                <w:sz w:val="18"/>
                <w:szCs w:val="18"/>
              </w:rPr>
              <w:t>Kontr HPV Δ PI</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0,32±0,17</w:t>
            </w:r>
          </w:p>
        </w:tc>
        <w:tc>
          <w:tcPr>
            <w:tcW w:w="1277" w:type="pct"/>
          </w:tcPr>
          <w:p w:rsidR="00E659A9" w:rsidRPr="00A108F7" w:rsidRDefault="00E659A9">
            <w:pPr>
              <w:jc w:val="center"/>
              <w:rPr>
                <w:rFonts w:ascii="Arial" w:hAnsi="Arial" w:cs="Arial"/>
                <w:sz w:val="18"/>
                <w:szCs w:val="18"/>
              </w:rPr>
            </w:pPr>
            <w:r w:rsidRPr="00A108F7">
              <w:rPr>
                <w:rFonts w:ascii="Arial" w:hAnsi="Arial" w:cs="Arial"/>
                <w:sz w:val="18"/>
                <w:szCs w:val="18"/>
              </w:rPr>
              <w:t>0,33±0,23</w:t>
            </w:r>
          </w:p>
        </w:tc>
        <w:tc>
          <w:tcPr>
            <w:tcW w:w="851" w:type="pct"/>
          </w:tcPr>
          <w:p w:rsidR="00E659A9" w:rsidRPr="00A108F7" w:rsidRDefault="00E659A9" w:rsidP="00461F9A">
            <w:pPr>
              <w:rPr>
                <w:rFonts w:ascii="Arial" w:hAnsi="Arial" w:cs="Arial"/>
                <w:sz w:val="18"/>
                <w:szCs w:val="18"/>
              </w:rPr>
            </w:pPr>
            <w:r w:rsidRPr="00A108F7">
              <w:rPr>
                <w:rFonts w:ascii="Arial" w:hAnsi="Arial" w:cs="Arial"/>
                <w:sz w:val="18"/>
                <w:szCs w:val="18"/>
              </w:rPr>
              <w:t>0,880</w:t>
            </w:r>
          </w:p>
        </w:tc>
      </w:tr>
    </w:tbl>
    <w:p w:rsidR="00FF2F61" w:rsidRDefault="00FF2F61" w:rsidP="00461F9A">
      <w:pPr>
        <w:spacing w:line="360" w:lineRule="auto"/>
        <w:rPr>
          <w:rFonts w:ascii="Arial" w:hAnsi="Arial" w:cs="Arial"/>
          <w:sz w:val="24"/>
          <w:szCs w:val="24"/>
        </w:rPr>
      </w:pPr>
    </w:p>
    <w:p w:rsidR="00FF2F61" w:rsidRDefault="00FF2F61">
      <w:pPr>
        <w:rPr>
          <w:rFonts w:ascii="Arial" w:hAnsi="Arial" w:cs="Arial"/>
          <w:sz w:val="24"/>
          <w:szCs w:val="24"/>
        </w:rPr>
      </w:pPr>
      <w:r>
        <w:rPr>
          <w:rFonts w:ascii="Arial" w:hAnsi="Arial" w:cs="Arial"/>
          <w:sz w:val="24"/>
          <w:szCs w:val="24"/>
        </w:rPr>
        <w:br w:type="page"/>
      </w:r>
    </w:p>
    <w:p w:rsidR="00E659A9" w:rsidRPr="00C31DA6" w:rsidRDefault="00E659A9" w:rsidP="00A108F7">
      <w:pPr>
        <w:pStyle w:val="Balk2"/>
      </w:pPr>
      <w:bookmarkStart w:id="45" w:name="_Toc492677353"/>
      <w:r w:rsidRPr="00833EE8">
        <w:lastRenderedPageBreak/>
        <w:t>3.</w:t>
      </w:r>
      <w:r w:rsidR="007259BF">
        <w:t>3</w:t>
      </w:r>
      <w:r w:rsidRPr="00833EE8">
        <w:t>.</w:t>
      </w:r>
      <w:r w:rsidRPr="00C31DA6">
        <w:t xml:space="preserve"> </w:t>
      </w:r>
      <w:r>
        <w:t>Aerojenik mikroembolilerinin v</w:t>
      </w:r>
      <w:r w:rsidRPr="00833EE8">
        <w:t>azomotor reaktivite</w:t>
      </w:r>
      <w:r>
        <w:t>ye etkisi</w:t>
      </w:r>
      <w:bookmarkEnd w:id="45"/>
    </w:p>
    <w:p w:rsidR="00E659A9" w:rsidRDefault="00E659A9" w:rsidP="00A108F7">
      <w:pPr>
        <w:pStyle w:val="METN"/>
      </w:pPr>
      <w:r w:rsidRPr="00461F9A">
        <w:t xml:space="preserve">Bu çalışmada geniş sağdan sola şantı olan PFO olgularında serebral dolaşıma geçiş yapan çok sayıdaki hava içeren </w:t>
      </w:r>
      <w:r>
        <w:t xml:space="preserve">(aerojenik) </w:t>
      </w:r>
      <w:r w:rsidRPr="00461F9A">
        <w:t>mikro</w:t>
      </w:r>
      <w:r>
        <w:t>e</w:t>
      </w:r>
      <w:r w:rsidRPr="00461F9A">
        <w:t>mboli</w:t>
      </w:r>
      <w:r>
        <w:t>k</w:t>
      </w:r>
      <w:r w:rsidRPr="00461F9A">
        <w:t xml:space="preserve"> kabarcığın VMR parametrelerine olan etkisinin belirlenebilmesi amacıyla işlemden hemen sonra MCA ve takiben PCA monitöriza</w:t>
      </w:r>
      <w:r>
        <w:t>s</w:t>
      </w:r>
      <w:r w:rsidRPr="00461F9A">
        <w:t>yonu ile BHT ve HPV testleri tekrar edilmiştir. İşlem sonrası VMR parametrelerinin 6 subgruptaki sonuçları Tablo-5 ve Figür-8’de dökümente edilmiştir.</w:t>
      </w:r>
    </w:p>
    <w:p w:rsidR="00E659A9" w:rsidRPr="00461F9A" w:rsidRDefault="00E659A9" w:rsidP="00A108F7">
      <w:pPr>
        <w:pStyle w:val="Balk3"/>
      </w:pPr>
      <w:bookmarkStart w:id="46" w:name="_Toc492677354"/>
      <w:r w:rsidRPr="00461F9A">
        <w:t>3.</w:t>
      </w:r>
      <w:r w:rsidR="007259BF">
        <w:t>3</w:t>
      </w:r>
      <w:r w:rsidRPr="00461F9A">
        <w:t>.1.BHI</w:t>
      </w:r>
      <w:bookmarkEnd w:id="46"/>
    </w:p>
    <w:p w:rsidR="00E659A9" w:rsidRPr="00461F9A" w:rsidRDefault="00E659A9" w:rsidP="00A108F7">
      <w:pPr>
        <w:pStyle w:val="METN"/>
      </w:pPr>
      <w:r w:rsidRPr="00461F9A">
        <w:t>Bubble testi için ajite SF injeksiyonu sonrası PCA’da injeksiyon öncesine göre BHI anlamlı olarak azalma göstermiş</w:t>
      </w:r>
      <w:r>
        <w:t>t</w:t>
      </w:r>
      <w:r w:rsidRPr="00461F9A">
        <w:t>ir. Tüm hastalar için BHI 1,092±0,413’den 0,851±0,421’e gerilemiştir (Bağımlı değişkenlerde iki-yönlü t testi, p&lt;0,001). Bu kontrlateral hemisferde daha belirgin olmakla birlikte bilateraldir. Kontrlateral hem</w:t>
      </w:r>
      <w:r>
        <w:t>is</w:t>
      </w:r>
      <w:r w:rsidRPr="00461F9A">
        <w:t>ferde 1,106±0,454’den 0,834±0,407’e (p&lt;0,001) ve ipsilateral hemisferde 1,067±0,439’dan 0,875±0,480’e (p=0,010) düşüş görülmüştür. İnjeksiyon öncesi ve sonrası testler için ayrı ayrı alınan PCA bazal değerleri farklı değildir (Pre: 44,9±8,8 cm/s ve post: 46,8±9,2; p=0,109). İnjeksiyon öncesinde apne esnasında %32,3±12,5 artış ile 59,3±12,9 cm/s değerine ulaşılırken injeksiyon sonrasında %25,6±12,6 artışla (p=0,001, daha az) 58,2±12,3 cm/s’de kalınmıştır.</w:t>
      </w:r>
    </w:p>
    <w:p w:rsidR="00E659A9" w:rsidRDefault="00E659A9" w:rsidP="00A108F7">
      <w:pPr>
        <w:pStyle w:val="METN"/>
      </w:pPr>
      <w:r w:rsidRPr="00461F9A">
        <w:t>İnjeksiyon öncesi ve sonrası PCA BHI azalma derecesi PFO olan olgularda olmayanlara göre nümerik olarak daha fazla olmakla birlikte bu istati</w:t>
      </w:r>
      <w:r>
        <w:t>s</w:t>
      </w:r>
      <w:r w:rsidRPr="00461F9A">
        <w:t xml:space="preserve">tiksel olarak anlamlı değildir. </w:t>
      </w:r>
      <w:r>
        <w:t xml:space="preserve">PFO’lularda </w:t>
      </w:r>
      <w:r w:rsidRPr="00461F9A">
        <w:t>BHI azalması migren</w:t>
      </w:r>
      <w:r>
        <w:t>liler</w:t>
      </w:r>
      <w:r w:rsidRPr="00461F9A">
        <w:t>de 0,248±0,428 iken migreni olmayanlarda 0,234±0,489’dur (p=0,78</w:t>
      </w:r>
      <w:r>
        <w:t>). Bu durum ipsi</w:t>
      </w:r>
      <w:r w:rsidRPr="00461F9A">
        <w:t>lateral ve kontrlateral hem</w:t>
      </w:r>
      <w:r>
        <w:t>is</w:t>
      </w:r>
      <w:r w:rsidRPr="00461F9A">
        <w:t xml:space="preserve">ferler için benzerdir (Tablo </w:t>
      </w:r>
      <w:r w:rsidR="00A108F7">
        <w:t>3.</w:t>
      </w:r>
      <w:r w:rsidRPr="00461F9A">
        <w:t>6a</w:t>
      </w:r>
      <w:r>
        <w:t xml:space="preserve">, </w:t>
      </w:r>
      <w:r w:rsidR="00A108F7">
        <w:t>Resim</w:t>
      </w:r>
      <w:r>
        <w:t xml:space="preserve"> </w:t>
      </w:r>
      <w:r w:rsidR="00A108F7">
        <w:t>3.</w:t>
      </w:r>
      <w:r>
        <w:t>8a</w:t>
      </w:r>
      <w:r w:rsidRPr="00461F9A">
        <w:t xml:space="preserve">). </w:t>
      </w:r>
      <w:r>
        <w:t xml:space="preserve">Benzer şekilde PCA BHI’nin azalmasının PFO bulunmasına göre değişmediği dikkati çekmiştir (Tablo </w:t>
      </w:r>
      <w:r w:rsidR="00A108F7">
        <w:t>3.</w:t>
      </w:r>
      <w:r>
        <w:t xml:space="preserve">6a, </w:t>
      </w:r>
      <w:r w:rsidR="00A108F7">
        <w:t>Resim</w:t>
      </w:r>
      <w:r>
        <w:t xml:space="preserve"> </w:t>
      </w:r>
      <w:r w:rsidR="00A108F7">
        <w:t>3.</w:t>
      </w:r>
      <w:r>
        <w:t>8a). Ancak, azalma PFO pozitif olgularda sayısal olarak daha yüksektir. MCA BHI değerlerinde ise (hemen ajite salin verildikten sonra elde olunmuştur) injeksiyon öncesi ve sonrası değerlerde belirgin farklılık izlenmemiştir. Bu etkisiz oluş PFO ve/veya migrenli hasta gruplarıda diğerlerin</w:t>
      </w:r>
      <w:r w:rsidR="00A108F7">
        <w:t>den farklı değildir (Tablo 3.</w:t>
      </w:r>
      <w:r>
        <w:t xml:space="preserve">6a, </w:t>
      </w:r>
      <w:r w:rsidR="00A108F7">
        <w:t>Resim</w:t>
      </w:r>
      <w:r>
        <w:t xml:space="preserve"> </w:t>
      </w:r>
      <w:r w:rsidR="00A108F7">
        <w:t>3.</w:t>
      </w:r>
      <w:r>
        <w:t xml:space="preserve">8a). PFO, aura ve migrenin permutasyonuna dayanan altı grup bağlamında inceleme </w:t>
      </w:r>
      <w:r>
        <w:lastRenderedPageBreak/>
        <w:t xml:space="preserve">yapıldığında MCA BHI azalmasında fark yok iken PCA BHI azalması aurasız migren olgularında (Grup 3 + grup 4) daha fazla olma eğilimi göstermiştir (Tablo-6b, Figür 8b). Bu iki grup birleştirilerek, aurasız migren olan olgular tüm diğer olgularla karşılaştırılınca (1,105 ± 0,462 vs. 0,811 ± 0,346; p=0,006) ajite salin sonrası PCA BHI azalmasının belirgin şekilde farklı </w:t>
      </w:r>
      <w:proofErr w:type="gramStart"/>
      <w:r>
        <w:t>olduğu,</w:t>
      </w:r>
      <w:proofErr w:type="gramEnd"/>
      <w:r>
        <w:t xml:space="preserve"> ve bunun ipsilateral (1,095 ± 0,495 vs. 0,844 ± 0,363; p=0,017) ve kontrlateral (1,090 ± 0,477 vs. 0,797 ± 0,379; p=0,018) hemisferlerde benzer şekilde olduğu belirlenmiştir. Ancak, aurasız migren grubundaki injeksiyon sonrası BHI azalması PCA’da çok belirgin olsa da (0,30 ± 0,41 vs. 0,21 ± 0,48) anlamlılığa varmamaktadır. MCA BHI ise aurasız migrende ve diğer olgularda benzer seviyede (0,08 ± 0,33’e 0,10 ± 0,40) azalmıştır (p=0,822).</w:t>
      </w:r>
    </w:p>
    <w:p w:rsidR="00E659A9" w:rsidRPr="00461F9A" w:rsidRDefault="00E659A9" w:rsidP="00A108F7">
      <w:pPr>
        <w:pStyle w:val="METN"/>
        <w:rPr>
          <w:szCs w:val="24"/>
        </w:rPr>
      </w:pPr>
      <w:r w:rsidRPr="002176A0">
        <w:rPr>
          <w:szCs w:val="24"/>
        </w:rPr>
        <w:t>Dikkate değer bir bulgu olarak MCA BHI ajite salin i</w:t>
      </w:r>
      <w:r>
        <w:rPr>
          <w:szCs w:val="24"/>
        </w:rPr>
        <w:t>n</w:t>
      </w:r>
      <w:r w:rsidRPr="002176A0">
        <w:rPr>
          <w:szCs w:val="24"/>
        </w:rPr>
        <w:t>jeksiyonu öncesi ve sonrası farkı 0,0719</w:t>
      </w:r>
      <w:r>
        <w:rPr>
          <w:szCs w:val="24"/>
        </w:rPr>
        <w:t xml:space="preserve"> </w:t>
      </w:r>
      <w:r w:rsidRPr="00461F9A">
        <w:rPr>
          <w:szCs w:val="24"/>
        </w:rPr>
        <w:t>±</w:t>
      </w:r>
      <w:r>
        <w:rPr>
          <w:szCs w:val="24"/>
        </w:rPr>
        <w:t xml:space="preserve"> </w:t>
      </w:r>
      <w:r w:rsidRPr="00461F9A">
        <w:rPr>
          <w:szCs w:val="24"/>
        </w:rPr>
        <w:t>0,293 iken PCA için bu değer anlamlı olarak fazladır (0,25</w:t>
      </w:r>
      <w:r>
        <w:rPr>
          <w:szCs w:val="24"/>
        </w:rPr>
        <w:t xml:space="preserve"> </w:t>
      </w:r>
      <w:r w:rsidRPr="00461F9A">
        <w:rPr>
          <w:szCs w:val="24"/>
        </w:rPr>
        <w:t>±</w:t>
      </w:r>
      <w:r>
        <w:rPr>
          <w:szCs w:val="24"/>
        </w:rPr>
        <w:t xml:space="preserve"> </w:t>
      </w:r>
      <w:r w:rsidRPr="00461F9A">
        <w:rPr>
          <w:szCs w:val="24"/>
        </w:rPr>
        <w:t xml:space="preserve">0,43) (p=0,0118). </w:t>
      </w:r>
      <w:r>
        <w:rPr>
          <w:szCs w:val="24"/>
        </w:rPr>
        <w:t>Yani, PCA’nın reaktivitesi ajite salin sonrası MCA’nınkine göre daha belirgin seviyede etkilenmiştir.</w:t>
      </w:r>
    </w:p>
    <w:p w:rsidR="00E659A9" w:rsidRPr="00461F9A" w:rsidRDefault="00E659A9" w:rsidP="00A108F7">
      <w:pPr>
        <w:pStyle w:val="Balk3"/>
      </w:pPr>
      <w:bookmarkStart w:id="47" w:name="_Toc492677355"/>
      <w:r w:rsidRPr="00461F9A">
        <w:t>3.</w:t>
      </w:r>
      <w:r w:rsidR="007259BF">
        <w:t>3</w:t>
      </w:r>
      <w:r w:rsidRPr="00461F9A">
        <w:t>.2. Faz-II dip</w:t>
      </w:r>
      <w:bookmarkEnd w:id="47"/>
    </w:p>
    <w:p w:rsidR="00E659A9" w:rsidRPr="00461F9A" w:rsidRDefault="00E659A9" w:rsidP="00A108F7">
      <w:pPr>
        <w:pStyle w:val="METN"/>
      </w:pPr>
      <w:r>
        <w:t>Ajite edilmiş SF injeksiyonu sonrasında PCA apne yanıtında (faz-2) görülen akım hızı azalmasının tüm gruplarda belirginleştiği saptanmıştır (Tablo-7a, Tablo-7b). PCA’da injeksiyon öncesi Faz 2 yüzde olarak akım hızı azalması 8,7±8,1 iken injeksiyon sonrası %12,2±6,9’a yükselmiştir (p=0,009). MCA apne faz-2 dip yanıtında ise önce ve sonra arasında fark saptanmamıştır (8,9±9,0’a 9,3±9,0; p=0,766). Aurasız migrende PCA faz-2 dip yanıtı %10,1±8,3’den %12,7±8,1’e (p=0,309), auralı migrende %9,3±9,0’dan %11,1±6,6’ya (p=0,440) ve migreni olmayanlarda %9,6±7,8’den %12,4±6,2’ye (p=0,135) yükselmiştir.</w:t>
      </w:r>
    </w:p>
    <w:p w:rsidR="00E659A9" w:rsidRPr="00461F9A" w:rsidRDefault="00E659A9" w:rsidP="00A108F7">
      <w:pPr>
        <w:pStyle w:val="METN"/>
      </w:pPr>
      <w:r>
        <w:t xml:space="preserve">PCA’da görülen dip yanıtının ajite salin sonrası belirginleşmesi gruplar arasında homojen olup, sadece migreni olmayanların sol tarafında anlamlılık sınırını aşabilmiştir (Tablo-7b). </w:t>
      </w:r>
    </w:p>
    <w:p w:rsidR="00E659A9" w:rsidRPr="00461F9A" w:rsidRDefault="00E659A9" w:rsidP="00A108F7">
      <w:pPr>
        <w:pStyle w:val="Balk3"/>
      </w:pPr>
      <w:bookmarkStart w:id="48" w:name="_Toc492677356"/>
      <w:r w:rsidRPr="00461F9A">
        <w:lastRenderedPageBreak/>
        <w:t>3.</w:t>
      </w:r>
      <w:r w:rsidR="007259BF">
        <w:t>3</w:t>
      </w:r>
      <w:r w:rsidRPr="00461F9A">
        <w:t>.3. Hiperventilasyonda akım hızı azalması</w:t>
      </w:r>
      <w:bookmarkEnd w:id="48"/>
    </w:p>
    <w:p w:rsidR="00E659A9" w:rsidRDefault="00E659A9" w:rsidP="00A108F7">
      <w:pPr>
        <w:pStyle w:val="METN"/>
      </w:pPr>
      <w:r>
        <w:t xml:space="preserve">Ajite edilmiş SF injeksiyonunun MCA ve PCA’in hiperventilasyon yaparken olan akım hızı azalması ve platoya varışının amplitüdü ve zamanına anlamlı bir etkisi oluşmamıştır (Tablo </w:t>
      </w:r>
      <w:r w:rsidR="00A108F7">
        <w:t>3.</w:t>
      </w:r>
      <w:r>
        <w:t xml:space="preserve">8a ve Tablo </w:t>
      </w:r>
      <w:r w:rsidR="00A108F7">
        <w:t>3.</w:t>
      </w:r>
      <w:r>
        <w:t>8b). Bu yanıt migrenlilerde salin öncesinde olduğu gibi hafif derecede egzajeredir. Ancak, önce ve sonra değerleri migren ve/veya PFO olup olmamasına göre değişiklik göstermemektedir.</w:t>
      </w:r>
    </w:p>
    <w:p w:rsidR="00E659A9" w:rsidRDefault="00E659A9" w:rsidP="00A108F7">
      <w:pPr>
        <w:pStyle w:val="METN"/>
      </w:pPr>
      <w:r>
        <w:t xml:space="preserve">Ajite salin injeksiyonu sonrası erken dönemde görülen BHT ve HPV indis değişiklikleri tüm bazal değerler sıfıra normalize edilerek Figür 9 ve Figür 10’da şematize edilmiş ve Tablo </w:t>
      </w:r>
      <w:r w:rsidR="00A108F7">
        <w:t>3.</w:t>
      </w:r>
      <w:r>
        <w:t>10’da özetlenmiştir. Migren olgularında PFO olsun olmasın MCA hiperventilasyon ve nefes tutma parametrelerinde ajite salin injeksiyonu sonrasında istatistiksel seviyede anlamlı değişiklik saptanmamıştır. PCA için ise migren ve/veya PFO’su olan olgularda BHI apne piki seviyesinin anlamlı olarak azaldığı tespit edilmiştir. Bu BHI azalması ile paralel bir bulgudur. Diğer taraftan migrenli olgularda PCA Faz-II dip zamanının uzadığı görülmüştür.</w:t>
      </w:r>
    </w:p>
    <w:p w:rsidR="00E659A9" w:rsidRPr="00A108F7" w:rsidRDefault="00E659A9" w:rsidP="00A108F7">
      <w:pPr>
        <w:pStyle w:val="Balk2"/>
      </w:pPr>
      <w:bookmarkStart w:id="49" w:name="_Toc492677357"/>
      <w:r w:rsidRPr="00A108F7">
        <w:rPr>
          <w:rStyle w:val="Balk2Char"/>
          <w:b/>
        </w:rPr>
        <w:t>3.</w:t>
      </w:r>
      <w:r w:rsidR="007259BF">
        <w:rPr>
          <w:rStyle w:val="Balk2Char"/>
          <w:b/>
        </w:rPr>
        <w:t>4</w:t>
      </w:r>
      <w:r w:rsidRPr="00A108F7">
        <w:rPr>
          <w:rStyle w:val="Balk2Char"/>
          <w:b/>
        </w:rPr>
        <w:t>. Aerojenik</w:t>
      </w:r>
      <w:r w:rsidRPr="00A108F7">
        <w:t xml:space="preserve"> mikroembolizm ve migrenöz baş ağrısı</w:t>
      </w:r>
      <w:bookmarkEnd w:id="49"/>
    </w:p>
    <w:p w:rsidR="00E659A9" w:rsidRDefault="00E659A9" w:rsidP="00A108F7">
      <w:pPr>
        <w:pStyle w:val="METN"/>
      </w:pPr>
      <w:r>
        <w:t>53 olguda “Bubble test” sonrası baş ağrısı ortaya çıkışı ve ağrının karakteristikleri belirlenmiştir. Bir migrenli (Grup-3), iki auralı migrenli (Grup-5) ve bir auralı migren ve PFO’lu (Grup-6) olmak üzere toplam 4 (%7,5) olguda testten sonraki ilk saatlerde migren ağrısı olmuştur. Hastaların hepsinin migrenli olması not edilmiştir (%11’e %0, exact test p=0,201).</w:t>
      </w:r>
    </w:p>
    <w:p w:rsidR="00E659A9" w:rsidRDefault="00E659A9" w:rsidP="00A108F7">
      <w:pPr>
        <w:pStyle w:val="METN"/>
      </w:pPr>
      <w:proofErr w:type="gramStart"/>
      <w:r>
        <w:t>Ağrı gelişen 4 hastanın bazal PCA BHI’leri diğer olgulardan hafifçe düşük olup (0,94±0,44 vs. 1,12±0,41; Wilcoxon sign, p=0,4045) ajite salin sonrası belirgin azalma olmaması dikkati çekmiştir (Ağrı grubunda post-injeksiyon PCA BHI 0,98±0,56; p=0,672 ve ağrı olmayan grupta post-injeksiyon PCA BHI 0,87±0,41; p&lt;0,0001).</w:t>
      </w:r>
      <w:proofErr w:type="gramEnd"/>
    </w:p>
    <w:p w:rsidR="00E659A9" w:rsidRDefault="00E659A9" w:rsidP="00A108F7">
      <w:pPr>
        <w:pStyle w:val="METN"/>
      </w:pPr>
      <w:r>
        <w:t xml:space="preserve">MCA BHI ise bu hastalarda diğerlerine göre sayısal olarak yüksektir (1,43±0,68 vs. 1,13±0,53; p=0,2904). Ajite salin sonrası diğer olgularda olduğu gibi ağrı çıkanlarda da injeksiyon sonrası MCA BHI azalması izlenmemiştir </w:t>
      </w:r>
      <w:r>
        <w:lastRenderedPageBreak/>
        <w:t>(Ağrı grubunda post-injeksiyon MCA BHI 1,29±0,72; p=0,459 ve ağrı olmayan grupta post-injeksiyon MCA BHI 1,10±0,53; p=0,385).</w:t>
      </w:r>
    </w:p>
    <w:p w:rsidR="00A108F7" w:rsidRDefault="00A108F7">
      <w:pPr>
        <w:rPr>
          <w:rFonts w:ascii="Arial" w:hAnsi="Arial" w:cs="Arial"/>
          <w:sz w:val="24"/>
          <w:szCs w:val="24"/>
        </w:rPr>
      </w:pPr>
    </w:p>
    <w:p w:rsidR="0056631F" w:rsidRDefault="0056631F">
      <w:pPr>
        <w:rPr>
          <w:rFonts w:ascii="Arial" w:hAnsi="Arial" w:cs="Arial"/>
          <w:sz w:val="24"/>
          <w:szCs w:val="24"/>
        </w:rPr>
        <w:sectPr w:rsidR="0056631F" w:rsidSect="00FB3620">
          <w:pgSz w:w="11906" w:h="16838" w:code="9"/>
          <w:pgMar w:top="1701" w:right="1418" w:bottom="1701" w:left="2268" w:header="709" w:footer="709" w:gutter="0"/>
          <w:cols w:space="708"/>
          <w:docGrid w:linePitch="360"/>
        </w:sectPr>
      </w:pPr>
    </w:p>
    <w:p w:rsidR="00E659A9" w:rsidRDefault="00E659A9" w:rsidP="00DF11CD">
      <w:pPr>
        <w:pStyle w:val="Tablolar6"/>
        <w:spacing w:before="0"/>
      </w:pPr>
      <w:bookmarkStart w:id="50" w:name="_Toc492677370"/>
      <w:r>
        <w:lastRenderedPageBreak/>
        <w:t xml:space="preserve">Tablo </w:t>
      </w:r>
      <w:proofErr w:type="gramStart"/>
      <w:r w:rsidR="007259BF">
        <w:t>3.</w:t>
      </w:r>
      <w:r>
        <w:t>5</w:t>
      </w:r>
      <w:proofErr w:type="gramEnd"/>
      <w:r w:rsidR="00DF11CD">
        <w:t>.</w:t>
      </w:r>
      <w:r>
        <w:t xml:space="preserve"> </w:t>
      </w:r>
      <w:r w:rsidRPr="00DF11CD">
        <w:rPr>
          <w:b w:val="0"/>
        </w:rPr>
        <w:t>“Bubble test” sonrası VMR parametreleri</w:t>
      </w:r>
      <w:bookmarkEnd w:id="50"/>
    </w:p>
    <w:tbl>
      <w:tblPr>
        <w:tblStyle w:val="TabloKlavuzu"/>
        <w:tblW w:w="5000" w:type="pct"/>
        <w:tblLook w:val="04A0" w:firstRow="1" w:lastRow="0" w:firstColumn="1" w:lastColumn="0" w:noHBand="0" w:noVBand="1"/>
      </w:tblPr>
      <w:tblGrid>
        <w:gridCol w:w="2278"/>
        <w:gridCol w:w="1759"/>
        <w:gridCol w:w="1670"/>
        <w:gridCol w:w="1616"/>
        <w:gridCol w:w="1616"/>
        <w:gridCol w:w="1616"/>
        <w:gridCol w:w="1665"/>
        <w:gridCol w:w="1206"/>
      </w:tblGrid>
      <w:tr w:rsidR="00E659A9" w:rsidRPr="00461F9A" w:rsidTr="00DF11CD">
        <w:tc>
          <w:tcPr>
            <w:tcW w:w="848" w:type="pct"/>
            <w:shd w:val="clear" w:color="auto" w:fill="F2F2F2" w:themeFill="background1" w:themeFillShade="F2"/>
          </w:tcPr>
          <w:p w:rsidR="00E659A9" w:rsidRPr="00461F9A" w:rsidRDefault="00E659A9" w:rsidP="001731FC">
            <w:pPr>
              <w:rPr>
                <w:rFonts w:cstheme="minorHAnsi"/>
                <w:b/>
                <w:sz w:val="16"/>
                <w:szCs w:val="16"/>
              </w:rPr>
            </w:pPr>
            <w:r w:rsidRPr="00461F9A">
              <w:rPr>
                <w:rFonts w:cstheme="minorHAnsi"/>
                <w:b/>
                <w:sz w:val="16"/>
                <w:szCs w:val="16"/>
              </w:rPr>
              <w:t>Grup</w:t>
            </w:r>
          </w:p>
        </w:tc>
        <w:tc>
          <w:tcPr>
            <w:tcW w:w="655"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1</w:t>
            </w:r>
          </w:p>
        </w:tc>
        <w:tc>
          <w:tcPr>
            <w:tcW w:w="62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2</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3</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4</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5</w:t>
            </w:r>
          </w:p>
        </w:tc>
        <w:tc>
          <w:tcPr>
            <w:tcW w:w="620"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6</w:t>
            </w:r>
          </w:p>
        </w:tc>
        <w:tc>
          <w:tcPr>
            <w:tcW w:w="449" w:type="pct"/>
            <w:shd w:val="clear" w:color="auto" w:fill="F2F2F2" w:themeFill="background1" w:themeFillShade="F2"/>
          </w:tcPr>
          <w:p w:rsidR="00E659A9" w:rsidRPr="00461F9A" w:rsidRDefault="00E659A9" w:rsidP="001731FC">
            <w:pPr>
              <w:jc w:val="center"/>
              <w:rPr>
                <w:rFonts w:cstheme="minorHAnsi"/>
                <w:b/>
                <w:sz w:val="16"/>
                <w:szCs w:val="16"/>
              </w:rPr>
            </w:pPr>
          </w:p>
        </w:tc>
      </w:tr>
      <w:tr w:rsidR="00E659A9" w:rsidRPr="00461F9A" w:rsidTr="00DF11CD">
        <w:tc>
          <w:tcPr>
            <w:tcW w:w="848" w:type="pct"/>
            <w:shd w:val="clear" w:color="auto" w:fill="F2F2F2" w:themeFill="background1" w:themeFillShade="F2"/>
          </w:tcPr>
          <w:p w:rsidR="00E659A9" w:rsidRPr="00461F9A" w:rsidRDefault="00E659A9" w:rsidP="001731FC">
            <w:pPr>
              <w:rPr>
                <w:rFonts w:cstheme="minorHAnsi"/>
                <w:sz w:val="16"/>
                <w:szCs w:val="16"/>
              </w:rPr>
            </w:pPr>
            <w:r w:rsidRPr="00461F9A">
              <w:rPr>
                <w:rFonts w:cstheme="minorHAnsi"/>
                <w:sz w:val="16"/>
                <w:szCs w:val="16"/>
              </w:rPr>
              <w:t>Migren</w:t>
            </w:r>
          </w:p>
        </w:tc>
        <w:tc>
          <w:tcPr>
            <w:tcW w:w="655"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2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20"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449" w:type="pct"/>
            <w:shd w:val="clear" w:color="auto" w:fill="F2F2F2" w:themeFill="background1" w:themeFillShade="F2"/>
          </w:tcPr>
          <w:p w:rsidR="00E659A9" w:rsidRPr="00461F9A" w:rsidRDefault="00E659A9" w:rsidP="001731FC">
            <w:pPr>
              <w:jc w:val="center"/>
              <w:rPr>
                <w:rFonts w:cstheme="minorHAnsi"/>
                <w:sz w:val="16"/>
                <w:szCs w:val="16"/>
              </w:rPr>
            </w:pPr>
          </w:p>
        </w:tc>
      </w:tr>
      <w:tr w:rsidR="00E659A9" w:rsidRPr="00461F9A" w:rsidTr="00DF11CD">
        <w:tc>
          <w:tcPr>
            <w:tcW w:w="848" w:type="pct"/>
            <w:shd w:val="clear" w:color="auto" w:fill="F2F2F2" w:themeFill="background1" w:themeFillShade="F2"/>
          </w:tcPr>
          <w:p w:rsidR="00E659A9" w:rsidRPr="00461F9A" w:rsidRDefault="00E659A9" w:rsidP="001731FC">
            <w:pPr>
              <w:rPr>
                <w:rFonts w:cstheme="minorHAnsi"/>
                <w:sz w:val="16"/>
                <w:szCs w:val="16"/>
              </w:rPr>
            </w:pPr>
            <w:r w:rsidRPr="00461F9A">
              <w:rPr>
                <w:rFonts w:cstheme="minorHAnsi"/>
                <w:sz w:val="16"/>
                <w:szCs w:val="16"/>
              </w:rPr>
              <w:t>Aura</w:t>
            </w:r>
          </w:p>
        </w:tc>
        <w:tc>
          <w:tcPr>
            <w:tcW w:w="655"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2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20"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449" w:type="pct"/>
            <w:shd w:val="clear" w:color="auto" w:fill="F2F2F2" w:themeFill="background1" w:themeFillShade="F2"/>
          </w:tcPr>
          <w:p w:rsidR="00E659A9" w:rsidRPr="00461F9A" w:rsidRDefault="00E659A9" w:rsidP="001731FC">
            <w:pPr>
              <w:jc w:val="center"/>
              <w:rPr>
                <w:rFonts w:cstheme="minorHAnsi"/>
                <w:sz w:val="16"/>
                <w:szCs w:val="16"/>
              </w:rPr>
            </w:pPr>
          </w:p>
        </w:tc>
      </w:tr>
      <w:tr w:rsidR="00E659A9" w:rsidRPr="00461F9A" w:rsidTr="00DF11CD">
        <w:tc>
          <w:tcPr>
            <w:tcW w:w="848" w:type="pct"/>
            <w:shd w:val="clear" w:color="auto" w:fill="F2F2F2" w:themeFill="background1" w:themeFillShade="F2"/>
          </w:tcPr>
          <w:p w:rsidR="00E659A9" w:rsidRPr="00461F9A" w:rsidRDefault="00E659A9" w:rsidP="001731FC">
            <w:pPr>
              <w:rPr>
                <w:rFonts w:cstheme="minorHAnsi"/>
                <w:sz w:val="16"/>
                <w:szCs w:val="16"/>
              </w:rPr>
            </w:pPr>
            <w:r w:rsidRPr="00461F9A">
              <w:rPr>
                <w:rFonts w:cstheme="minorHAnsi"/>
                <w:sz w:val="16"/>
                <w:szCs w:val="16"/>
              </w:rPr>
              <w:t>PFO</w:t>
            </w:r>
          </w:p>
        </w:tc>
        <w:tc>
          <w:tcPr>
            <w:tcW w:w="655"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2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602"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0</w:t>
            </w:r>
          </w:p>
        </w:tc>
        <w:tc>
          <w:tcPr>
            <w:tcW w:w="620" w:type="pct"/>
            <w:shd w:val="clear" w:color="auto" w:fill="F2F2F2" w:themeFill="background1" w:themeFillShade="F2"/>
          </w:tcPr>
          <w:p w:rsidR="00E659A9" w:rsidRPr="00461F9A" w:rsidRDefault="00E659A9" w:rsidP="001731FC">
            <w:pPr>
              <w:jc w:val="center"/>
              <w:rPr>
                <w:rFonts w:cstheme="minorHAnsi"/>
                <w:sz w:val="16"/>
                <w:szCs w:val="16"/>
              </w:rPr>
            </w:pPr>
            <w:r w:rsidRPr="00461F9A">
              <w:rPr>
                <w:rFonts w:cstheme="minorHAnsi"/>
                <w:sz w:val="16"/>
                <w:szCs w:val="16"/>
              </w:rPr>
              <w:t>1</w:t>
            </w:r>
          </w:p>
        </w:tc>
        <w:tc>
          <w:tcPr>
            <w:tcW w:w="449" w:type="pct"/>
            <w:shd w:val="clear" w:color="auto" w:fill="F2F2F2" w:themeFill="background1" w:themeFillShade="F2"/>
          </w:tcPr>
          <w:p w:rsidR="00E659A9" w:rsidRPr="00461F9A" w:rsidRDefault="00E659A9" w:rsidP="001731FC">
            <w:pPr>
              <w:jc w:val="center"/>
              <w:rPr>
                <w:rFonts w:cstheme="minorHAnsi"/>
                <w:sz w:val="16"/>
                <w:szCs w:val="16"/>
              </w:rPr>
            </w:pPr>
          </w:p>
        </w:tc>
      </w:tr>
      <w:tr w:rsidR="00E659A9" w:rsidRPr="00461F9A" w:rsidTr="00DF11CD">
        <w:tc>
          <w:tcPr>
            <w:tcW w:w="848" w:type="pct"/>
            <w:shd w:val="clear" w:color="auto" w:fill="F2F2F2" w:themeFill="background1" w:themeFillShade="F2"/>
          </w:tcPr>
          <w:p w:rsidR="00E659A9" w:rsidRPr="00461F9A" w:rsidRDefault="00E659A9" w:rsidP="001731FC">
            <w:pPr>
              <w:rPr>
                <w:rFonts w:cstheme="minorHAnsi"/>
                <w:b/>
                <w:sz w:val="16"/>
                <w:szCs w:val="16"/>
              </w:rPr>
            </w:pPr>
            <w:r w:rsidRPr="00461F9A">
              <w:rPr>
                <w:rFonts w:cstheme="minorHAnsi"/>
                <w:b/>
                <w:sz w:val="16"/>
                <w:szCs w:val="16"/>
              </w:rPr>
              <w:t>N</w:t>
            </w:r>
          </w:p>
        </w:tc>
        <w:tc>
          <w:tcPr>
            <w:tcW w:w="655"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10</w:t>
            </w:r>
          </w:p>
        </w:tc>
        <w:tc>
          <w:tcPr>
            <w:tcW w:w="62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8</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10</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9</w:t>
            </w:r>
          </w:p>
        </w:tc>
        <w:tc>
          <w:tcPr>
            <w:tcW w:w="602"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10</w:t>
            </w:r>
          </w:p>
        </w:tc>
        <w:tc>
          <w:tcPr>
            <w:tcW w:w="620"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9</w:t>
            </w:r>
          </w:p>
        </w:tc>
        <w:tc>
          <w:tcPr>
            <w:tcW w:w="449" w:type="pct"/>
            <w:shd w:val="clear" w:color="auto" w:fill="F2F2F2" w:themeFill="background1" w:themeFillShade="F2"/>
          </w:tcPr>
          <w:p w:rsidR="00E659A9" w:rsidRPr="00461F9A" w:rsidRDefault="00E659A9" w:rsidP="001731FC">
            <w:pPr>
              <w:jc w:val="center"/>
              <w:rPr>
                <w:rFonts w:cstheme="minorHAnsi"/>
                <w:b/>
                <w:sz w:val="16"/>
                <w:szCs w:val="16"/>
              </w:rPr>
            </w:pPr>
            <w:r w:rsidRPr="00461F9A">
              <w:rPr>
                <w:rFonts w:cstheme="minorHAnsi"/>
                <w:b/>
                <w:sz w:val="16"/>
                <w:szCs w:val="16"/>
              </w:rPr>
              <w:t>F</w:t>
            </w:r>
          </w:p>
        </w:tc>
      </w:tr>
      <w:tr w:rsidR="00E659A9" w:rsidRPr="00EF5D39" w:rsidTr="00DF11CD">
        <w:tc>
          <w:tcPr>
            <w:tcW w:w="5000" w:type="pct"/>
            <w:gridSpan w:val="8"/>
            <w:shd w:val="clear" w:color="auto" w:fill="F2F2F2" w:themeFill="background1" w:themeFillShade="F2"/>
          </w:tcPr>
          <w:p w:rsidR="00E659A9" w:rsidRPr="00EF5D39" w:rsidRDefault="00E659A9" w:rsidP="001731FC">
            <w:pPr>
              <w:jc w:val="center"/>
              <w:rPr>
                <w:rFonts w:cstheme="minorHAnsi"/>
                <w:b/>
                <w:sz w:val="18"/>
                <w:szCs w:val="18"/>
              </w:rPr>
            </w:pPr>
            <w:r w:rsidRPr="00EF5D39">
              <w:rPr>
                <w:rFonts w:cstheme="minorHAnsi"/>
                <w:b/>
                <w:sz w:val="18"/>
                <w:szCs w:val="18"/>
              </w:rPr>
              <w:t>PCA</w:t>
            </w:r>
          </w:p>
        </w:tc>
      </w:tr>
      <w:tr w:rsidR="00E659A9" w:rsidRPr="00EF5D39" w:rsidTr="00DF11CD">
        <w:tc>
          <w:tcPr>
            <w:tcW w:w="5000" w:type="pct"/>
            <w:gridSpan w:val="8"/>
            <w:shd w:val="clear" w:color="auto" w:fill="F2F2F2" w:themeFill="background1" w:themeFillShade="F2"/>
          </w:tcPr>
          <w:p w:rsidR="00E659A9" w:rsidRPr="00EF5D39" w:rsidRDefault="00E659A9" w:rsidP="001731FC">
            <w:pPr>
              <w:jc w:val="center"/>
              <w:rPr>
                <w:rFonts w:cstheme="minorHAnsi"/>
                <w:sz w:val="18"/>
                <w:szCs w:val="18"/>
              </w:rPr>
            </w:pPr>
            <w:r w:rsidRPr="00EF5D39">
              <w:rPr>
                <w:rFonts w:cstheme="minorHAnsi"/>
                <w:sz w:val="18"/>
                <w:szCs w:val="18"/>
              </w:rPr>
              <w:t>BHI</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 xml:space="preserve">Bazal Vmean </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44±7</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44±11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51±11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44±7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51±7</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47±12</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1,39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Bazal PI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0,66±0,09</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0,69±0,13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0,65±0,08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0,65±0,06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0,72±0,10</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0,66±0,09</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0,87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Dip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39±7</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38±10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44±8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37±7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45±5</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42±10</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1,39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Dip PI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0,77±0,14</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0,75±0,17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0,79±0,07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0,75±0,12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0,85±0,09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0,69±0,08</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1,51</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Δ (%) Dip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12±7</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13±6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11±10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14±4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12,1±5,3</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12,3±9,5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0,13</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Δ Dip PI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0,13±0,12</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0,05±0,10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0,124±0,061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0,101±0,103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0,146±0,089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0,050±0,081</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0,59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t dip</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11,0±4,1</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9,8±3,9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10,6±2,7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8,9±3,3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10,2±1,9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11,1±2,9</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0,69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Apne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53±12</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54±14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65±11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52±9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66±8</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58±15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2,60</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Apne Δ (%)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23±13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25±9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29±11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20±8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31±17</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26±16</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1,01</w:t>
            </w:r>
          </w:p>
        </w:tc>
      </w:tr>
      <w:tr w:rsidR="00E659A9" w:rsidRPr="00EF5D39" w:rsidTr="00DF11CD">
        <w:tc>
          <w:tcPr>
            <w:tcW w:w="848" w:type="pct"/>
            <w:shd w:val="clear" w:color="auto" w:fill="auto"/>
          </w:tcPr>
          <w:p w:rsidR="00E659A9" w:rsidRPr="00EF5D39" w:rsidRDefault="00E659A9" w:rsidP="001731FC">
            <w:pPr>
              <w:rPr>
                <w:rFonts w:cstheme="minorHAnsi"/>
                <w:sz w:val="18"/>
                <w:szCs w:val="18"/>
              </w:rPr>
            </w:pPr>
            <w:r w:rsidRPr="00EF5D39">
              <w:rPr>
                <w:rFonts w:cstheme="minorHAnsi"/>
                <w:sz w:val="18"/>
                <w:szCs w:val="18"/>
              </w:rPr>
              <w:t>BHI</w:t>
            </w:r>
          </w:p>
        </w:tc>
        <w:tc>
          <w:tcPr>
            <w:tcW w:w="655"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0,76±0,43</w:t>
            </w:r>
          </w:p>
        </w:tc>
        <w:tc>
          <w:tcPr>
            <w:tcW w:w="62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0,82±0,29</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0,94±0,36</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0,67±0,29</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1,04±0,55</w:t>
            </w:r>
          </w:p>
        </w:tc>
        <w:tc>
          <w:tcPr>
            <w:tcW w:w="620"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0,86±0,52</w:t>
            </w:r>
          </w:p>
        </w:tc>
        <w:tc>
          <w:tcPr>
            <w:tcW w:w="449"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0,923</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Ipsi. Δ (%) Dip 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11±8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12±6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6±5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14±7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12,1±6,8</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10,2±11,0</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0,93</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Kontr.Δ (%) DipVm.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12±8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13±6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13±6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12,2±4,3</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14,5±9,4</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0,147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Ipsilateral BHI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0,77±0,48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0,78±0,29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1,01±0,32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0,68±0,34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1,07±0,65</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0,93±0,63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0,947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Kontrlateral BHI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0,75±0,43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0,86±0,33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0,93±0,40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0,65±0,31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1,01±0,49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0,79±0,45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0,953</w:t>
            </w:r>
          </w:p>
        </w:tc>
      </w:tr>
      <w:tr w:rsidR="00E659A9" w:rsidRPr="00EF5D39" w:rsidTr="00DF11CD">
        <w:tc>
          <w:tcPr>
            <w:tcW w:w="5000" w:type="pct"/>
            <w:gridSpan w:val="8"/>
            <w:shd w:val="clear" w:color="auto" w:fill="F2F2F2" w:themeFill="background1" w:themeFillShade="F2"/>
          </w:tcPr>
          <w:p w:rsidR="00E659A9" w:rsidRPr="00EF5D39" w:rsidRDefault="00E659A9" w:rsidP="001731FC">
            <w:pPr>
              <w:jc w:val="center"/>
              <w:rPr>
                <w:rFonts w:cstheme="minorHAnsi"/>
                <w:sz w:val="18"/>
                <w:szCs w:val="18"/>
              </w:rPr>
            </w:pPr>
            <w:r w:rsidRPr="00EF5D39">
              <w:rPr>
                <w:rFonts w:cstheme="minorHAnsi"/>
                <w:sz w:val="18"/>
                <w:szCs w:val="18"/>
              </w:rPr>
              <w:t>HPV</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HPV Δ (%</w:t>
            </w:r>
            <w:r w:rsidRPr="00EF5D39">
              <w:rPr>
                <w:rFonts w:cstheme="minorHAnsi"/>
                <w:sz w:val="18"/>
                <w:szCs w:val="18"/>
              </w:rPr>
              <w:sym w:font="Symbol" w:char="F0AF"/>
            </w:r>
            <w:r w:rsidRPr="00EF5D39">
              <w:rPr>
                <w:rFonts w:cstheme="minorHAnsi"/>
                <w:sz w:val="18"/>
                <w:szCs w:val="18"/>
              </w:rPr>
              <w:t>)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24±8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30±10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25±8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28±5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27±6</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29±11</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0,834</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İpsi HPV Δ (%</w:t>
            </w:r>
            <w:r w:rsidRPr="00EF5D39">
              <w:rPr>
                <w:rFonts w:cstheme="minorHAnsi"/>
                <w:sz w:val="18"/>
                <w:szCs w:val="18"/>
              </w:rPr>
              <w:sym w:font="Symbol" w:char="F0AF"/>
            </w:r>
            <w:r w:rsidRPr="00EF5D39">
              <w:rPr>
                <w:rFonts w:cstheme="minorHAnsi"/>
                <w:sz w:val="18"/>
                <w:szCs w:val="18"/>
              </w:rPr>
              <w:t>) 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24±9</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31±9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25±7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29±4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28±6</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28±11</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1,023</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Kontr HPV Δ (%</w:t>
            </w:r>
            <w:r w:rsidRPr="00EF5D39">
              <w:rPr>
                <w:rFonts w:cstheme="minorHAnsi"/>
                <w:sz w:val="18"/>
                <w:szCs w:val="18"/>
              </w:rPr>
              <w:sym w:font="Symbol" w:char="F0AF"/>
            </w:r>
            <w:r w:rsidRPr="00EF5D39">
              <w:rPr>
                <w:rFonts w:cstheme="minorHAnsi"/>
                <w:sz w:val="18"/>
                <w:szCs w:val="18"/>
              </w:rPr>
              <w:t>)Vm.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23±8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29±11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24±11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30±5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27±7</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29±11</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0,804</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t plato</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18,1±3,5</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17,2±2,9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16,7±5,1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17,4±2,8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15,8±3,9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12,9±7,7</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0,483</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 xml:space="preserve">HPV Δ PI </w:t>
            </w:r>
            <w:r w:rsidRPr="00EF5D39">
              <w:rPr>
                <w:rFonts w:cstheme="minorHAnsi"/>
                <w:sz w:val="18"/>
                <w:szCs w:val="18"/>
              </w:rPr>
              <w:sym w:font="Symbol" w:char="F0AD"/>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0,26±0,12</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0,20±0,04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0,36±0,21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0,33±0,22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0,28±0,15</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0,18±0,13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1,57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 xml:space="preserve">İpsi HPV Δ PI </w:t>
            </w:r>
            <w:r w:rsidRPr="00EF5D39">
              <w:rPr>
                <w:rFonts w:cstheme="minorHAnsi"/>
                <w:sz w:val="18"/>
                <w:szCs w:val="18"/>
              </w:rPr>
              <w:sym w:font="Symbol" w:char="F0AD"/>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0,24±0,13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0,25±0,07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0,28±0,15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0,37±0,25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0,25±0,19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0,15±0,13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1,522</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 xml:space="preserve">Kontr HPV Δ PI </w:t>
            </w:r>
            <w:r w:rsidRPr="00EF5D39">
              <w:rPr>
                <w:rFonts w:cstheme="minorHAnsi"/>
                <w:sz w:val="18"/>
                <w:szCs w:val="18"/>
              </w:rPr>
              <w:sym w:font="Symbol" w:char="F0AD"/>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0,28±0,16</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0,14±0,13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0,34±0,20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0,39±0,21</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0,31±0,14</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0,22±0,19</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2,067</w:t>
            </w:r>
          </w:p>
        </w:tc>
      </w:tr>
    </w:tbl>
    <w:p w:rsidR="00DF11CD" w:rsidRDefault="00DF11CD" w:rsidP="001731FC">
      <w:pPr>
        <w:rPr>
          <w:rFonts w:cstheme="minorHAnsi"/>
          <w:sz w:val="18"/>
          <w:szCs w:val="18"/>
        </w:rPr>
      </w:pPr>
    </w:p>
    <w:p w:rsidR="00DF11CD" w:rsidRDefault="00DF11CD">
      <w:pPr>
        <w:rPr>
          <w:rFonts w:cstheme="minorHAnsi"/>
          <w:sz w:val="18"/>
          <w:szCs w:val="18"/>
        </w:rPr>
      </w:pPr>
      <w:r>
        <w:rPr>
          <w:rFonts w:cstheme="minorHAnsi"/>
          <w:sz w:val="18"/>
          <w:szCs w:val="18"/>
        </w:rPr>
        <w:br w:type="page"/>
      </w:r>
    </w:p>
    <w:p w:rsidR="00DF11CD" w:rsidRDefault="00DF11CD" w:rsidP="00DF11CD">
      <w:pPr>
        <w:pStyle w:val="METN"/>
        <w:ind w:firstLine="0"/>
      </w:pPr>
      <w:r w:rsidRPr="00DF11CD">
        <w:rPr>
          <w:b/>
        </w:rPr>
        <w:lastRenderedPageBreak/>
        <w:t xml:space="preserve">Tablo </w:t>
      </w:r>
      <w:proofErr w:type="gramStart"/>
      <w:r w:rsidR="007259BF">
        <w:rPr>
          <w:b/>
        </w:rPr>
        <w:t>3.</w:t>
      </w:r>
      <w:r w:rsidRPr="00DF11CD">
        <w:rPr>
          <w:b/>
        </w:rPr>
        <w:t>5</w:t>
      </w:r>
      <w:proofErr w:type="gramEnd"/>
      <w:r w:rsidRPr="00DF11CD">
        <w:rPr>
          <w:b/>
        </w:rPr>
        <w:t>. (Devam)</w:t>
      </w:r>
      <w:r>
        <w:t xml:space="preserve"> </w:t>
      </w:r>
      <w:r w:rsidRPr="00DF11CD">
        <w:t>“Bubble test” sonrası VMR parametreleri</w:t>
      </w:r>
    </w:p>
    <w:tbl>
      <w:tblPr>
        <w:tblStyle w:val="TabloKlavuzu"/>
        <w:tblW w:w="5000" w:type="pct"/>
        <w:tblLook w:val="04A0" w:firstRow="1" w:lastRow="0" w:firstColumn="1" w:lastColumn="0" w:noHBand="0" w:noVBand="1"/>
      </w:tblPr>
      <w:tblGrid>
        <w:gridCol w:w="2278"/>
        <w:gridCol w:w="1759"/>
        <w:gridCol w:w="1670"/>
        <w:gridCol w:w="1616"/>
        <w:gridCol w:w="1616"/>
        <w:gridCol w:w="1616"/>
        <w:gridCol w:w="1665"/>
        <w:gridCol w:w="1206"/>
      </w:tblGrid>
      <w:tr w:rsidR="00DF11CD" w:rsidRPr="00EF5D39" w:rsidTr="00DF11CD">
        <w:tc>
          <w:tcPr>
            <w:tcW w:w="5000" w:type="pct"/>
            <w:gridSpan w:val="8"/>
            <w:shd w:val="clear" w:color="auto" w:fill="F2F2F2" w:themeFill="background1" w:themeFillShade="F2"/>
          </w:tcPr>
          <w:p w:rsidR="00DF11CD" w:rsidRPr="00EF5D39" w:rsidRDefault="00DF11CD" w:rsidP="00DF11CD">
            <w:pPr>
              <w:jc w:val="center"/>
              <w:rPr>
                <w:rFonts w:cstheme="minorHAnsi"/>
                <w:b/>
                <w:sz w:val="18"/>
                <w:szCs w:val="18"/>
              </w:rPr>
            </w:pPr>
            <w:r w:rsidRPr="00EF5D39">
              <w:rPr>
                <w:rFonts w:cstheme="minorHAnsi"/>
                <w:b/>
                <w:sz w:val="18"/>
                <w:szCs w:val="18"/>
              </w:rPr>
              <w:t>MCA</w:t>
            </w:r>
          </w:p>
        </w:tc>
      </w:tr>
      <w:tr w:rsidR="00DF11CD" w:rsidRPr="00EF5D39" w:rsidTr="00DF11CD">
        <w:tc>
          <w:tcPr>
            <w:tcW w:w="5000" w:type="pct"/>
            <w:gridSpan w:val="8"/>
            <w:shd w:val="clear" w:color="auto" w:fill="F2F2F2" w:themeFill="background1" w:themeFillShade="F2"/>
          </w:tcPr>
          <w:p w:rsidR="00DF11CD" w:rsidRPr="00EF5D39" w:rsidRDefault="00DF11CD" w:rsidP="00DF11CD">
            <w:pPr>
              <w:jc w:val="center"/>
              <w:rPr>
                <w:rFonts w:cstheme="minorHAnsi"/>
                <w:sz w:val="18"/>
                <w:szCs w:val="18"/>
              </w:rPr>
            </w:pPr>
            <w:r w:rsidRPr="00EF5D39">
              <w:rPr>
                <w:rFonts w:cstheme="minorHAnsi"/>
                <w:sz w:val="18"/>
                <w:szCs w:val="18"/>
              </w:rPr>
              <w:t>BHI</w:t>
            </w:r>
          </w:p>
        </w:tc>
      </w:tr>
      <w:tr w:rsidR="00DF11CD" w:rsidRPr="00EF5D39" w:rsidTr="00DF11CD">
        <w:tc>
          <w:tcPr>
            <w:tcW w:w="848" w:type="pct"/>
          </w:tcPr>
          <w:p w:rsidR="00DF11CD" w:rsidRPr="00EF5D39" w:rsidRDefault="00DF11CD" w:rsidP="00DF11CD">
            <w:pPr>
              <w:rPr>
                <w:rFonts w:cstheme="minorHAnsi"/>
                <w:sz w:val="18"/>
                <w:szCs w:val="18"/>
              </w:rPr>
            </w:pPr>
            <w:r w:rsidRPr="00EF5D39">
              <w:rPr>
                <w:rFonts w:cstheme="minorHAnsi"/>
                <w:sz w:val="18"/>
                <w:szCs w:val="18"/>
              </w:rPr>
              <w:t xml:space="preserve">Bazal Vmean </w:t>
            </w:r>
          </w:p>
        </w:tc>
        <w:tc>
          <w:tcPr>
            <w:tcW w:w="655" w:type="pct"/>
          </w:tcPr>
          <w:p w:rsidR="00DF11CD" w:rsidRPr="00EF5D39" w:rsidRDefault="00DF11CD" w:rsidP="00DF11CD">
            <w:pPr>
              <w:jc w:val="center"/>
              <w:rPr>
                <w:rFonts w:cstheme="minorHAnsi"/>
                <w:sz w:val="18"/>
                <w:szCs w:val="18"/>
              </w:rPr>
            </w:pPr>
            <w:r w:rsidRPr="00461F9A">
              <w:rPr>
                <w:rFonts w:cstheme="minorHAnsi"/>
                <w:sz w:val="18"/>
                <w:szCs w:val="18"/>
              </w:rPr>
              <w:t>64±8</w:t>
            </w:r>
          </w:p>
        </w:tc>
        <w:tc>
          <w:tcPr>
            <w:tcW w:w="622" w:type="pct"/>
          </w:tcPr>
          <w:p w:rsidR="00DF11CD" w:rsidRPr="00EF5D39" w:rsidRDefault="00DF11CD" w:rsidP="00DF11CD">
            <w:pPr>
              <w:jc w:val="center"/>
              <w:rPr>
                <w:rFonts w:cstheme="minorHAnsi"/>
                <w:sz w:val="18"/>
                <w:szCs w:val="18"/>
              </w:rPr>
            </w:pPr>
            <w:r w:rsidRPr="00461F9A">
              <w:rPr>
                <w:rFonts w:cstheme="minorHAnsi"/>
                <w:sz w:val="18"/>
                <w:szCs w:val="18"/>
              </w:rPr>
              <w:t>62±13</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69±10</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64±9</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64±8</w:t>
            </w:r>
          </w:p>
        </w:tc>
        <w:tc>
          <w:tcPr>
            <w:tcW w:w="620" w:type="pct"/>
          </w:tcPr>
          <w:p w:rsidR="00DF11CD" w:rsidRPr="00EF5D39" w:rsidRDefault="00DF11CD" w:rsidP="00DF11CD">
            <w:pPr>
              <w:jc w:val="center"/>
              <w:rPr>
                <w:rFonts w:cstheme="minorHAnsi"/>
                <w:sz w:val="18"/>
                <w:szCs w:val="18"/>
              </w:rPr>
            </w:pPr>
            <w:r w:rsidRPr="00461F9A">
              <w:rPr>
                <w:rFonts w:cstheme="minorHAnsi"/>
                <w:sz w:val="18"/>
                <w:szCs w:val="18"/>
              </w:rPr>
              <w:t>66±11</w:t>
            </w:r>
          </w:p>
        </w:tc>
        <w:tc>
          <w:tcPr>
            <w:tcW w:w="449" w:type="pct"/>
          </w:tcPr>
          <w:p w:rsidR="00DF11CD" w:rsidRPr="00EF5D39" w:rsidRDefault="00DF11CD" w:rsidP="00DF11CD">
            <w:pPr>
              <w:jc w:val="center"/>
              <w:rPr>
                <w:rFonts w:cstheme="minorHAnsi"/>
                <w:sz w:val="18"/>
                <w:szCs w:val="18"/>
              </w:rPr>
            </w:pPr>
            <w:r w:rsidRPr="00461F9A">
              <w:rPr>
                <w:rFonts w:cstheme="minorHAnsi"/>
                <w:sz w:val="18"/>
                <w:szCs w:val="18"/>
              </w:rPr>
              <w:t>0,76</w:t>
            </w:r>
          </w:p>
        </w:tc>
      </w:tr>
      <w:tr w:rsidR="00DF11CD" w:rsidRPr="00EF5D39" w:rsidTr="00DF11CD">
        <w:tc>
          <w:tcPr>
            <w:tcW w:w="848" w:type="pct"/>
          </w:tcPr>
          <w:p w:rsidR="00DF11CD" w:rsidRPr="00EF5D39" w:rsidRDefault="00DF11CD" w:rsidP="00DF11CD">
            <w:pPr>
              <w:rPr>
                <w:rFonts w:cstheme="minorHAnsi"/>
                <w:sz w:val="18"/>
                <w:szCs w:val="18"/>
              </w:rPr>
            </w:pPr>
            <w:r w:rsidRPr="00EF5D39">
              <w:rPr>
                <w:rFonts w:cstheme="minorHAnsi"/>
                <w:sz w:val="18"/>
                <w:szCs w:val="18"/>
              </w:rPr>
              <w:t>Bazal PI</w:t>
            </w:r>
          </w:p>
        </w:tc>
        <w:tc>
          <w:tcPr>
            <w:tcW w:w="655" w:type="pct"/>
          </w:tcPr>
          <w:p w:rsidR="00DF11CD" w:rsidRPr="00EF5D39" w:rsidRDefault="00DF11CD" w:rsidP="00DF11CD">
            <w:pPr>
              <w:jc w:val="center"/>
              <w:rPr>
                <w:rFonts w:cstheme="minorHAnsi"/>
                <w:sz w:val="18"/>
                <w:szCs w:val="18"/>
              </w:rPr>
            </w:pPr>
            <w:r w:rsidRPr="00461F9A">
              <w:rPr>
                <w:rFonts w:cstheme="minorHAnsi"/>
                <w:sz w:val="18"/>
                <w:szCs w:val="18"/>
              </w:rPr>
              <w:t>0,74±0,09</w:t>
            </w:r>
          </w:p>
        </w:tc>
        <w:tc>
          <w:tcPr>
            <w:tcW w:w="622" w:type="pct"/>
          </w:tcPr>
          <w:p w:rsidR="00DF11CD" w:rsidRPr="00EF5D39" w:rsidRDefault="00DF11CD" w:rsidP="00DF11CD">
            <w:pPr>
              <w:jc w:val="center"/>
              <w:rPr>
                <w:rFonts w:cstheme="minorHAnsi"/>
                <w:sz w:val="18"/>
                <w:szCs w:val="18"/>
              </w:rPr>
            </w:pPr>
            <w:r w:rsidRPr="00461F9A">
              <w:rPr>
                <w:rFonts w:cstheme="minorHAnsi"/>
                <w:sz w:val="18"/>
                <w:szCs w:val="18"/>
              </w:rPr>
              <w:t>0,69±0,13</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0,72±0,11</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0,69±0,09</w:t>
            </w:r>
          </w:p>
        </w:tc>
        <w:tc>
          <w:tcPr>
            <w:tcW w:w="602" w:type="pct"/>
          </w:tcPr>
          <w:p w:rsidR="00DF11CD" w:rsidRPr="00EF5D39" w:rsidRDefault="00DF11CD" w:rsidP="00DF11CD">
            <w:pPr>
              <w:jc w:val="center"/>
              <w:rPr>
                <w:rFonts w:cstheme="minorHAnsi"/>
                <w:sz w:val="18"/>
                <w:szCs w:val="18"/>
              </w:rPr>
            </w:pPr>
            <w:r w:rsidRPr="00461F9A">
              <w:rPr>
                <w:rFonts w:cstheme="minorHAnsi"/>
                <w:sz w:val="18"/>
                <w:szCs w:val="18"/>
              </w:rPr>
              <w:t>0,74±0,05</w:t>
            </w:r>
          </w:p>
        </w:tc>
        <w:tc>
          <w:tcPr>
            <w:tcW w:w="620" w:type="pct"/>
          </w:tcPr>
          <w:p w:rsidR="00DF11CD" w:rsidRPr="00EF5D39" w:rsidRDefault="00DF11CD" w:rsidP="00DF11CD">
            <w:pPr>
              <w:jc w:val="center"/>
              <w:rPr>
                <w:rFonts w:cstheme="minorHAnsi"/>
                <w:sz w:val="18"/>
                <w:szCs w:val="18"/>
              </w:rPr>
            </w:pPr>
            <w:r w:rsidRPr="00461F9A">
              <w:rPr>
                <w:rFonts w:cstheme="minorHAnsi"/>
                <w:sz w:val="18"/>
                <w:szCs w:val="18"/>
              </w:rPr>
              <w:t>0,69±0,07</w:t>
            </w:r>
          </w:p>
        </w:tc>
        <w:tc>
          <w:tcPr>
            <w:tcW w:w="449" w:type="pct"/>
          </w:tcPr>
          <w:p w:rsidR="00DF11CD" w:rsidRPr="00EF5D39" w:rsidRDefault="00DF11CD" w:rsidP="00DF11CD">
            <w:pPr>
              <w:jc w:val="center"/>
              <w:rPr>
                <w:rFonts w:cstheme="minorHAnsi"/>
                <w:sz w:val="18"/>
                <w:szCs w:val="18"/>
              </w:rPr>
            </w:pPr>
            <w:r w:rsidRPr="00461F9A">
              <w:rPr>
                <w:rFonts w:cstheme="minorHAnsi"/>
                <w:sz w:val="18"/>
                <w:szCs w:val="18"/>
              </w:rPr>
              <w:t>0,69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Dip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58±8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52±8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62±9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57±10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62±10</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61±6</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1,42</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Dip PI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0,86±0,14</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0,73±0,18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0,81±0,09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0,72±0,14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0,87±0,15</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0,77±0,05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2,27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Δ (%) Dip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8,9±6,3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13,3±7,8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10,3±11,5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9,6±10,0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4,1±8,8</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11,5±7,5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1,12</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Δ Dip PI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-0,12±9,14</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-0,04±0,105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-0,09±0,12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-0,03±0,055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-0,14±0,14</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-0,09±0,06</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1,31</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t dip</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11,3±2,3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9,6±1,9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9,7±3,0</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12,4±5,2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9,6±1,8</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9,6±3,3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1,373</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Apne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82±12</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77±13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95±14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82±18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89±14</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82±12</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1,88</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Apne Δ (%)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29±12</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28±12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37±13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29±14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39±14</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25±10</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1,87</w:t>
            </w:r>
          </w:p>
        </w:tc>
      </w:tr>
      <w:tr w:rsidR="00E659A9" w:rsidRPr="00EF5D39" w:rsidTr="00DF11CD">
        <w:tc>
          <w:tcPr>
            <w:tcW w:w="848" w:type="pct"/>
            <w:shd w:val="clear" w:color="auto" w:fill="auto"/>
          </w:tcPr>
          <w:p w:rsidR="00E659A9" w:rsidRPr="00EF5D39" w:rsidRDefault="00E659A9" w:rsidP="001731FC">
            <w:pPr>
              <w:rPr>
                <w:rFonts w:cstheme="minorHAnsi"/>
                <w:sz w:val="18"/>
                <w:szCs w:val="18"/>
              </w:rPr>
            </w:pPr>
            <w:r w:rsidRPr="00EF5D39">
              <w:rPr>
                <w:rFonts w:cstheme="minorHAnsi"/>
                <w:sz w:val="18"/>
                <w:szCs w:val="18"/>
              </w:rPr>
              <w:t>BHI</w:t>
            </w:r>
          </w:p>
        </w:tc>
        <w:tc>
          <w:tcPr>
            <w:tcW w:w="655"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0,93±0,26</w:t>
            </w:r>
          </w:p>
        </w:tc>
        <w:tc>
          <w:tcPr>
            <w:tcW w:w="62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0,94±0,40</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1,31±0,47</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1,06±0,77</w:t>
            </w:r>
          </w:p>
        </w:tc>
        <w:tc>
          <w:tcPr>
            <w:tcW w:w="602"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1,39±0,61</w:t>
            </w:r>
          </w:p>
        </w:tc>
        <w:tc>
          <w:tcPr>
            <w:tcW w:w="620"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0,89±0,39</w:t>
            </w:r>
          </w:p>
        </w:tc>
        <w:tc>
          <w:tcPr>
            <w:tcW w:w="449" w:type="pct"/>
            <w:shd w:val="clear" w:color="auto" w:fill="auto"/>
          </w:tcPr>
          <w:p w:rsidR="00E659A9" w:rsidRPr="00EF5D39" w:rsidRDefault="00E659A9" w:rsidP="001731FC">
            <w:pPr>
              <w:jc w:val="center"/>
              <w:rPr>
                <w:rFonts w:cstheme="minorHAnsi"/>
                <w:sz w:val="18"/>
                <w:szCs w:val="18"/>
              </w:rPr>
            </w:pPr>
            <w:r w:rsidRPr="00461F9A">
              <w:rPr>
                <w:rFonts w:cstheme="minorHAnsi"/>
                <w:sz w:val="18"/>
                <w:szCs w:val="18"/>
              </w:rPr>
              <w:t>1,75</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Ipsi. Δ (%) Dip Vmean</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7,7±5,3</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12,6±8,5</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10,4±9,3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9,3±8,3</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4,8±9,2</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12,4±8,3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1,20</w:t>
            </w:r>
          </w:p>
        </w:tc>
      </w:tr>
      <w:tr w:rsidR="00E659A9" w:rsidRPr="00EF5D39" w:rsidTr="00DF11CD">
        <w:tc>
          <w:tcPr>
            <w:tcW w:w="848" w:type="pct"/>
          </w:tcPr>
          <w:p w:rsidR="00E659A9" w:rsidRPr="00EF5D39" w:rsidRDefault="00E659A9" w:rsidP="001731FC">
            <w:pPr>
              <w:ind w:right="-87"/>
              <w:rPr>
                <w:rFonts w:cstheme="minorHAnsi"/>
                <w:sz w:val="18"/>
                <w:szCs w:val="18"/>
              </w:rPr>
            </w:pPr>
            <w:r w:rsidRPr="00EF5D39">
              <w:rPr>
                <w:rFonts w:cstheme="minorHAnsi"/>
                <w:sz w:val="18"/>
                <w:szCs w:val="18"/>
              </w:rPr>
              <w:t>Kontr. Δ(%)Dip 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10,2±8,0</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14,1±8,7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10,3±14,4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9,9±12,7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3,5±9,1</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10,5±7,5</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0,99</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Ipsilateral BHI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1,00±0,45</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0,94±0,36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1,31±0,59</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1,03±0,66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1,25±0,61</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0,81±0,33</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1,57</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Kontrlateral BHI</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0,93±0,31</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0,94±0,52</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1,31±0,44</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1,09±0,87</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1,46±0,69</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0,97±0,46</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1,41</w:t>
            </w:r>
          </w:p>
        </w:tc>
      </w:tr>
      <w:tr w:rsidR="00E659A9" w:rsidRPr="00EF5D39" w:rsidTr="00DF11CD">
        <w:tc>
          <w:tcPr>
            <w:tcW w:w="5000" w:type="pct"/>
            <w:gridSpan w:val="8"/>
            <w:shd w:val="clear" w:color="auto" w:fill="F2F2F2" w:themeFill="background1" w:themeFillShade="F2"/>
          </w:tcPr>
          <w:p w:rsidR="00E659A9" w:rsidRPr="00EF5D39" w:rsidRDefault="00E659A9" w:rsidP="001731FC">
            <w:pPr>
              <w:jc w:val="center"/>
              <w:rPr>
                <w:rFonts w:cstheme="minorHAnsi"/>
                <w:sz w:val="18"/>
                <w:szCs w:val="18"/>
              </w:rPr>
            </w:pPr>
            <w:r w:rsidRPr="00EF5D39">
              <w:rPr>
                <w:rFonts w:cstheme="minorHAnsi"/>
                <w:sz w:val="18"/>
                <w:szCs w:val="18"/>
              </w:rPr>
              <w:t>HPV</w:t>
            </w:r>
          </w:p>
        </w:tc>
      </w:tr>
      <w:tr w:rsidR="00E659A9" w:rsidRPr="00EF5D39" w:rsidTr="00DF11CD">
        <w:tc>
          <w:tcPr>
            <w:tcW w:w="848" w:type="pct"/>
          </w:tcPr>
          <w:p w:rsidR="00E659A9" w:rsidRPr="00EF5D39" w:rsidRDefault="00E659A9" w:rsidP="001731FC">
            <w:pPr>
              <w:rPr>
                <w:rFonts w:cstheme="minorHAnsi"/>
                <w:sz w:val="18"/>
                <w:szCs w:val="18"/>
              </w:rPr>
            </w:pPr>
            <w:r w:rsidRPr="00EF5D39">
              <w:rPr>
                <w:rFonts w:cstheme="minorHAnsi"/>
                <w:sz w:val="18"/>
                <w:szCs w:val="18"/>
              </w:rPr>
              <w:t>HPV Δ (%</w:t>
            </w:r>
            <w:r w:rsidRPr="00EF5D39">
              <w:rPr>
                <w:rFonts w:cstheme="minorHAnsi"/>
                <w:sz w:val="18"/>
                <w:szCs w:val="18"/>
              </w:rPr>
              <w:sym w:font="Symbol" w:char="F0AF"/>
            </w:r>
            <w:r w:rsidRPr="00EF5D39">
              <w:rPr>
                <w:rFonts w:cstheme="minorHAnsi"/>
                <w:sz w:val="18"/>
                <w:szCs w:val="18"/>
              </w:rPr>
              <w:t>) Vm.</w:t>
            </w:r>
          </w:p>
        </w:tc>
        <w:tc>
          <w:tcPr>
            <w:tcW w:w="655" w:type="pct"/>
          </w:tcPr>
          <w:p w:rsidR="00E659A9" w:rsidRPr="00EF5D39" w:rsidRDefault="00E659A9" w:rsidP="001731FC">
            <w:pPr>
              <w:jc w:val="center"/>
              <w:rPr>
                <w:rFonts w:cstheme="minorHAnsi"/>
                <w:sz w:val="18"/>
                <w:szCs w:val="18"/>
              </w:rPr>
            </w:pPr>
            <w:r w:rsidRPr="00461F9A">
              <w:rPr>
                <w:rFonts w:cstheme="minorHAnsi"/>
                <w:sz w:val="18"/>
                <w:szCs w:val="18"/>
              </w:rPr>
              <w:t>30±8</w:t>
            </w:r>
          </w:p>
        </w:tc>
        <w:tc>
          <w:tcPr>
            <w:tcW w:w="622" w:type="pct"/>
          </w:tcPr>
          <w:p w:rsidR="00E659A9" w:rsidRPr="00EF5D39" w:rsidRDefault="00E659A9" w:rsidP="001731FC">
            <w:pPr>
              <w:jc w:val="center"/>
              <w:rPr>
                <w:rFonts w:cstheme="minorHAnsi"/>
                <w:sz w:val="18"/>
                <w:szCs w:val="18"/>
              </w:rPr>
            </w:pPr>
            <w:r w:rsidRPr="00461F9A">
              <w:rPr>
                <w:rFonts w:cstheme="minorHAnsi"/>
                <w:sz w:val="18"/>
                <w:szCs w:val="18"/>
              </w:rPr>
              <w:t>25±8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25±6</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33±18</w:t>
            </w:r>
          </w:p>
        </w:tc>
        <w:tc>
          <w:tcPr>
            <w:tcW w:w="602" w:type="pct"/>
          </w:tcPr>
          <w:p w:rsidR="00E659A9" w:rsidRPr="00EF5D39" w:rsidRDefault="00E659A9" w:rsidP="001731FC">
            <w:pPr>
              <w:jc w:val="center"/>
              <w:rPr>
                <w:rFonts w:cstheme="minorHAnsi"/>
                <w:sz w:val="18"/>
                <w:szCs w:val="18"/>
              </w:rPr>
            </w:pPr>
            <w:r w:rsidRPr="00461F9A">
              <w:rPr>
                <w:rFonts w:cstheme="minorHAnsi"/>
                <w:sz w:val="18"/>
                <w:szCs w:val="18"/>
              </w:rPr>
              <w:t>31±5</w:t>
            </w:r>
          </w:p>
        </w:tc>
        <w:tc>
          <w:tcPr>
            <w:tcW w:w="620" w:type="pct"/>
          </w:tcPr>
          <w:p w:rsidR="00E659A9" w:rsidRPr="00EF5D39" w:rsidRDefault="00E659A9" w:rsidP="001731FC">
            <w:pPr>
              <w:jc w:val="center"/>
              <w:rPr>
                <w:rFonts w:cstheme="minorHAnsi"/>
                <w:sz w:val="18"/>
                <w:szCs w:val="18"/>
              </w:rPr>
            </w:pPr>
            <w:r w:rsidRPr="00461F9A">
              <w:rPr>
                <w:rFonts w:cstheme="minorHAnsi"/>
                <w:sz w:val="18"/>
                <w:szCs w:val="18"/>
              </w:rPr>
              <w:t>28±7</w:t>
            </w:r>
          </w:p>
        </w:tc>
        <w:tc>
          <w:tcPr>
            <w:tcW w:w="449" w:type="pct"/>
          </w:tcPr>
          <w:p w:rsidR="00E659A9" w:rsidRPr="00EF5D39" w:rsidRDefault="00E659A9" w:rsidP="001731FC">
            <w:pPr>
              <w:jc w:val="center"/>
              <w:rPr>
                <w:rFonts w:cstheme="minorHAnsi"/>
                <w:sz w:val="18"/>
                <w:szCs w:val="18"/>
              </w:rPr>
            </w:pPr>
            <w:r w:rsidRPr="00461F9A">
              <w:rPr>
                <w:rFonts w:cstheme="minorHAnsi"/>
                <w:sz w:val="18"/>
                <w:szCs w:val="18"/>
              </w:rPr>
              <w:t>2,68</w:t>
            </w:r>
          </w:p>
        </w:tc>
      </w:tr>
      <w:tr w:rsidR="00E659A9" w:rsidRPr="00461F9A" w:rsidTr="00DF11CD">
        <w:tc>
          <w:tcPr>
            <w:tcW w:w="848" w:type="pct"/>
          </w:tcPr>
          <w:p w:rsidR="00E659A9" w:rsidRPr="00461F9A" w:rsidRDefault="00E659A9" w:rsidP="001731FC">
            <w:pPr>
              <w:ind w:right="-177"/>
              <w:rPr>
                <w:rFonts w:cstheme="minorHAnsi"/>
                <w:sz w:val="16"/>
                <w:szCs w:val="16"/>
              </w:rPr>
            </w:pPr>
            <w:r w:rsidRPr="00461F9A">
              <w:rPr>
                <w:rFonts w:cstheme="minorHAnsi"/>
                <w:sz w:val="16"/>
                <w:szCs w:val="16"/>
              </w:rPr>
              <w:t>İpsi HPV Δ (%</w:t>
            </w:r>
            <w:r w:rsidRPr="00461F9A">
              <w:rPr>
                <w:rFonts w:cstheme="minorHAnsi"/>
                <w:sz w:val="16"/>
                <w:szCs w:val="16"/>
              </w:rPr>
              <w:sym w:font="Symbol" w:char="F0AF"/>
            </w:r>
            <w:r w:rsidRPr="00461F9A">
              <w:rPr>
                <w:rFonts w:cstheme="minorHAnsi"/>
                <w:sz w:val="16"/>
                <w:szCs w:val="16"/>
              </w:rPr>
              <w:t>) Vm.</w:t>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31±8</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25±9</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24±5</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29±11</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31±5</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29±10</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1,32</w:t>
            </w:r>
          </w:p>
        </w:tc>
      </w:tr>
      <w:tr w:rsidR="00E659A9" w:rsidRPr="00461F9A" w:rsidTr="00DF11CD">
        <w:tc>
          <w:tcPr>
            <w:tcW w:w="848" w:type="pct"/>
          </w:tcPr>
          <w:p w:rsidR="00E659A9" w:rsidRPr="00461F9A" w:rsidRDefault="00E659A9" w:rsidP="001731FC">
            <w:pPr>
              <w:ind w:right="-177"/>
              <w:rPr>
                <w:rFonts w:cstheme="minorHAnsi"/>
                <w:sz w:val="16"/>
                <w:szCs w:val="16"/>
              </w:rPr>
            </w:pPr>
            <w:r w:rsidRPr="00461F9A">
              <w:rPr>
                <w:rFonts w:cstheme="minorHAnsi"/>
                <w:sz w:val="16"/>
                <w:szCs w:val="16"/>
              </w:rPr>
              <w:t>Kontr HPV Δ (%</w:t>
            </w:r>
            <w:r w:rsidRPr="00461F9A">
              <w:rPr>
                <w:rFonts w:cstheme="minorHAnsi"/>
                <w:sz w:val="16"/>
                <w:szCs w:val="16"/>
              </w:rPr>
              <w:sym w:font="Symbol" w:char="F0AF"/>
            </w:r>
            <w:r w:rsidRPr="00461F9A">
              <w:rPr>
                <w:rFonts w:cstheme="minorHAnsi"/>
                <w:sz w:val="16"/>
                <w:szCs w:val="16"/>
              </w:rPr>
              <w:t>) Vm.</w:t>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28±8</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25±7</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25±6</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34±7</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30±6</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28±8</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2,27</w:t>
            </w:r>
          </w:p>
        </w:tc>
      </w:tr>
      <w:tr w:rsidR="00E659A9" w:rsidRPr="00461F9A" w:rsidTr="00DF11CD">
        <w:tc>
          <w:tcPr>
            <w:tcW w:w="848" w:type="pct"/>
          </w:tcPr>
          <w:p w:rsidR="00E659A9" w:rsidRPr="00461F9A" w:rsidRDefault="00E659A9" w:rsidP="001731FC">
            <w:pPr>
              <w:rPr>
                <w:rFonts w:cstheme="minorHAnsi"/>
                <w:sz w:val="16"/>
                <w:szCs w:val="16"/>
              </w:rPr>
            </w:pPr>
            <w:r w:rsidRPr="00461F9A">
              <w:rPr>
                <w:rFonts w:cstheme="minorHAnsi"/>
                <w:sz w:val="16"/>
                <w:szCs w:val="16"/>
              </w:rPr>
              <w:t>t plato</w:t>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17,2±2,5</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16,9±3,9</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18,2±3,6</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17,7±8,4</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15,6±3,3</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15,1±3,3</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0,58</w:t>
            </w:r>
          </w:p>
        </w:tc>
      </w:tr>
      <w:tr w:rsidR="00E659A9" w:rsidRPr="00461F9A" w:rsidTr="00DF11CD">
        <w:tc>
          <w:tcPr>
            <w:tcW w:w="848" w:type="pct"/>
          </w:tcPr>
          <w:p w:rsidR="00E659A9" w:rsidRPr="00461F9A" w:rsidRDefault="00E659A9" w:rsidP="001731FC">
            <w:pPr>
              <w:rPr>
                <w:rFonts w:cstheme="minorHAnsi"/>
                <w:sz w:val="16"/>
                <w:szCs w:val="16"/>
              </w:rPr>
            </w:pPr>
            <w:r w:rsidRPr="00461F9A">
              <w:rPr>
                <w:rFonts w:cstheme="minorHAnsi"/>
                <w:sz w:val="16"/>
                <w:szCs w:val="16"/>
              </w:rPr>
              <w:t xml:space="preserve">HPV Δ PI </w:t>
            </w:r>
            <w:r w:rsidRPr="00461F9A">
              <w:rPr>
                <w:rFonts w:cstheme="minorHAnsi"/>
                <w:sz w:val="16"/>
                <w:szCs w:val="16"/>
              </w:rPr>
              <w:sym w:font="Symbol" w:char="F0AD"/>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0,348±0,178</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0,126±0,081</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0,310±0,056</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0,348±0,229</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0,379±0,183</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0,347±0,121</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3.10</w:t>
            </w:r>
          </w:p>
        </w:tc>
      </w:tr>
      <w:tr w:rsidR="00E659A9" w:rsidRPr="00461F9A" w:rsidTr="00DF11CD">
        <w:tc>
          <w:tcPr>
            <w:tcW w:w="848" w:type="pct"/>
          </w:tcPr>
          <w:p w:rsidR="00E659A9" w:rsidRPr="00461F9A" w:rsidRDefault="00E659A9" w:rsidP="001731FC">
            <w:pPr>
              <w:rPr>
                <w:rFonts w:cstheme="minorHAnsi"/>
                <w:sz w:val="16"/>
                <w:szCs w:val="16"/>
              </w:rPr>
            </w:pPr>
            <w:r w:rsidRPr="00461F9A">
              <w:rPr>
                <w:rFonts w:cstheme="minorHAnsi"/>
                <w:sz w:val="16"/>
                <w:szCs w:val="16"/>
              </w:rPr>
              <w:t xml:space="preserve">İpsi HPV Δ PI </w:t>
            </w:r>
            <w:r w:rsidRPr="00461F9A">
              <w:rPr>
                <w:rFonts w:cstheme="minorHAnsi"/>
                <w:sz w:val="16"/>
                <w:szCs w:val="16"/>
              </w:rPr>
              <w:sym w:font="Symbol" w:char="F0AD"/>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0,358±0,164</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0,121±0,111</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0,297±0,091</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0,300±0,291</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0,372±0,188</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0,324±0,136</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2,23</w:t>
            </w:r>
          </w:p>
        </w:tc>
      </w:tr>
      <w:tr w:rsidR="00E659A9" w:rsidRPr="00461F9A" w:rsidTr="00DF11CD">
        <w:tc>
          <w:tcPr>
            <w:tcW w:w="848" w:type="pct"/>
          </w:tcPr>
          <w:p w:rsidR="00E659A9" w:rsidRPr="00461F9A" w:rsidRDefault="00E659A9" w:rsidP="001731FC">
            <w:pPr>
              <w:rPr>
                <w:rFonts w:cstheme="minorHAnsi"/>
                <w:sz w:val="16"/>
                <w:szCs w:val="16"/>
              </w:rPr>
            </w:pPr>
            <w:r w:rsidRPr="00461F9A">
              <w:rPr>
                <w:rFonts w:cstheme="minorHAnsi"/>
                <w:sz w:val="16"/>
                <w:szCs w:val="16"/>
              </w:rPr>
              <w:t xml:space="preserve">Kontr HPV Δ PI </w:t>
            </w:r>
            <w:r w:rsidRPr="00461F9A">
              <w:rPr>
                <w:rFonts w:cstheme="minorHAnsi"/>
                <w:sz w:val="16"/>
                <w:szCs w:val="16"/>
              </w:rPr>
              <w:sym w:font="Symbol" w:char="F0AD"/>
            </w:r>
          </w:p>
        </w:tc>
        <w:tc>
          <w:tcPr>
            <w:tcW w:w="655" w:type="pct"/>
          </w:tcPr>
          <w:p w:rsidR="00E659A9" w:rsidRPr="00461F9A" w:rsidRDefault="00E659A9" w:rsidP="001731FC">
            <w:pPr>
              <w:jc w:val="center"/>
              <w:rPr>
                <w:rFonts w:cstheme="minorHAnsi"/>
                <w:sz w:val="16"/>
                <w:szCs w:val="16"/>
              </w:rPr>
            </w:pPr>
            <w:r w:rsidRPr="00461F9A">
              <w:rPr>
                <w:rFonts w:cstheme="minorHAnsi"/>
                <w:sz w:val="16"/>
                <w:szCs w:val="16"/>
              </w:rPr>
              <w:t>0,336±0,202</w:t>
            </w:r>
          </w:p>
        </w:tc>
        <w:tc>
          <w:tcPr>
            <w:tcW w:w="622" w:type="pct"/>
          </w:tcPr>
          <w:p w:rsidR="00E659A9" w:rsidRPr="00461F9A" w:rsidRDefault="00E659A9" w:rsidP="001731FC">
            <w:pPr>
              <w:jc w:val="center"/>
              <w:rPr>
                <w:rFonts w:cstheme="minorHAnsi"/>
                <w:sz w:val="16"/>
                <w:szCs w:val="16"/>
              </w:rPr>
            </w:pPr>
            <w:r w:rsidRPr="00461F9A">
              <w:rPr>
                <w:rFonts w:cstheme="minorHAnsi"/>
                <w:sz w:val="16"/>
                <w:szCs w:val="16"/>
              </w:rPr>
              <w:t>0,133±0,085</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0,32±0,068</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0,358±0,195</w:t>
            </w:r>
          </w:p>
        </w:tc>
        <w:tc>
          <w:tcPr>
            <w:tcW w:w="602" w:type="pct"/>
          </w:tcPr>
          <w:p w:rsidR="00E659A9" w:rsidRPr="00461F9A" w:rsidRDefault="00E659A9" w:rsidP="001731FC">
            <w:pPr>
              <w:jc w:val="center"/>
              <w:rPr>
                <w:rFonts w:cstheme="minorHAnsi"/>
                <w:sz w:val="16"/>
                <w:szCs w:val="16"/>
              </w:rPr>
            </w:pPr>
            <w:r w:rsidRPr="00461F9A">
              <w:rPr>
                <w:rFonts w:cstheme="minorHAnsi"/>
                <w:sz w:val="16"/>
                <w:szCs w:val="16"/>
              </w:rPr>
              <w:t>0,386±0,210</w:t>
            </w:r>
          </w:p>
        </w:tc>
        <w:tc>
          <w:tcPr>
            <w:tcW w:w="620" w:type="pct"/>
          </w:tcPr>
          <w:p w:rsidR="00E659A9" w:rsidRPr="00461F9A" w:rsidRDefault="00E659A9" w:rsidP="001731FC">
            <w:pPr>
              <w:jc w:val="center"/>
              <w:rPr>
                <w:rFonts w:cstheme="minorHAnsi"/>
                <w:sz w:val="16"/>
                <w:szCs w:val="16"/>
              </w:rPr>
            </w:pPr>
            <w:r w:rsidRPr="00461F9A">
              <w:rPr>
                <w:rFonts w:cstheme="minorHAnsi"/>
                <w:sz w:val="16"/>
                <w:szCs w:val="16"/>
              </w:rPr>
              <w:t>0,369±0,125</w:t>
            </w:r>
          </w:p>
        </w:tc>
        <w:tc>
          <w:tcPr>
            <w:tcW w:w="449" w:type="pct"/>
          </w:tcPr>
          <w:p w:rsidR="00E659A9" w:rsidRPr="00461F9A" w:rsidRDefault="00E659A9" w:rsidP="001731FC">
            <w:pPr>
              <w:jc w:val="center"/>
              <w:rPr>
                <w:rFonts w:cstheme="minorHAnsi"/>
                <w:sz w:val="16"/>
                <w:szCs w:val="16"/>
              </w:rPr>
            </w:pPr>
            <w:r w:rsidRPr="00461F9A">
              <w:rPr>
                <w:rFonts w:cstheme="minorHAnsi"/>
                <w:sz w:val="16"/>
                <w:szCs w:val="16"/>
              </w:rPr>
              <w:t>2.82</w:t>
            </w:r>
          </w:p>
        </w:tc>
      </w:tr>
    </w:tbl>
    <w:p w:rsidR="00FF2F61" w:rsidRDefault="00FF2F61" w:rsidP="00461F9A">
      <w:pPr>
        <w:spacing w:line="360" w:lineRule="auto"/>
        <w:ind w:firstLine="567"/>
        <w:jc w:val="both"/>
        <w:rPr>
          <w:rFonts w:ascii="Arial" w:hAnsi="Arial" w:cs="Arial"/>
          <w:b/>
          <w:sz w:val="24"/>
          <w:szCs w:val="24"/>
        </w:rPr>
      </w:pPr>
    </w:p>
    <w:p w:rsidR="00FF2F61" w:rsidRDefault="00FF2F61">
      <w:pPr>
        <w:rPr>
          <w:rFonts w:ascii="Arial" w:hAnsi="Arial" w:cs="Arial"/>
          <w:b/>
          <w:sz w:val="24"/>
          <w:szCs w:val="24"/>
        </w:rPr>
      </w:pPr>
      <w:r>
        <w:rPr>
          <w:rFonts w:ascii="Arial" w:hAnsi="Arial" w:cs="Arial"/>
          <w:b/>
          <w:sz w:val="24"/>
          <w:szCs w:val="24"/>
        </w:rPr>
        <w:br w:type="page"/>
      </w:r>
    </w:p>
    <w:p w:rsidR="00E659A9" w:rsidRDefault="007259BF" w:rsidP="00DF11CD">
      <w:pPr>
        <w:pStyle w:val="Tablolar6"/>
        <w:spacing w:before="0" w:after="0"/>
      </w:pPr>
      <w:bookmarkStart w:id="51" w:name="_Toc492677371"/>
      <w:r>
        <w:lastRenderedPageBreak/>
        <w:t>Tablo 3.</w:t>
      </w:r>
      <w:r w:rsidR="00E659A9" w:rsidRPr="00461F9A">
        <w:t>6a</w:t>
      </w:r>
      <w:r w:rsidR="00DF11CD">
        <w:t>.</w:t>
      </w:r>
      <w:r w:rsidR="00E659A9">
        <w:t xml:space="preserve"> </w:t>
      </w:r>
      <w:r w:rsidR="00E659A9" w:rsidRPr="00DF11CD">
        <w:rPr>
          <w:b w:val="0"/>
        </w:rPr>
        <w:t>Ajite salinin BHI’ne etkisi I</w:t>
      </w:r>
      <w:bookmarkEnd w:id="51"/>
    </w:p>
    <w:tbl>
      <w:tblPr>
        <w:tblStyle w:val="TabloKlavuzu"/>
        <w:tblW w:w="5000" w:type="pct"/>
        <w:tblLook w:val="04A0" w:firstRow="1" w:lastRow="0" w:firstColumn="1" w:lastColumn="0" w:noHBand="0" w:noVBand="1"/>
      </w:tblPr>
      <w:tblGrid>
        <w:gridCol w:w="4202"/>
        <w:gridCol w:w="1402"/>
        <w:gridCol w:w="1407"/>
        <w:gridCol w:w="1603"/>
        <w:gridCol w:w="1606"/>
        <w:gridCol w:w="1603"/>
        <w:gridCol w:w="1603"/>
      </w:tblGrid>
      <w:tr w:rsidR="00E659A9" w:rsidRPr="0051775B" w:rsidTr="00DF11CD">
        <w:tc>
          <w:tcPr>
            <w:tcW w:w="1565" w:type="pct"/>
            <w:shd w:val="clear" w:color="auto" w:fill="F2F2F2" w:themeFill="background1" w:themeFillShade="F2"/>
          </w:tcPr>
          <w:p w:rsidR="00E659A9" w:rsidRPr="0051775B" w:rsidRDefault="00E659A9" w:rsidP="001731FC">
            <w:pPr>
              <w:rPr>
                <w:b/>
                <w:sz w:val="18"/>
                <w:szCs w:val="18"/>
              </w:rPr>
            </w:pPr>
          </w:p>
        </w:tc>
        <w:tc>
          <w:tcPr>
            <w:tcW w:w="1046"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PFO</w:t>
            </w:r>
          </w:p>
        </w:tc>
        <w:tc>
          <w:tcPr>
            <w:tcW w:w="1195"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w:t>
            </w:r>
          </w:p>
        </w:tc>
        <w:tc>
          <w:tcPr>
            <w:tcW w:w="1195"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Migren+PFO</w:t>
            </w:r>
          </w:p>
        </w:tc>
      </w:tr>
      <w:tr w:rsidR="00E659A9" w:rsidRPr="0051775B" w:rsidTr="00DF11CD">
        <w:tc>
          <w:tcPr>
            <w:tcW w:w="1565" w:type="pct"/>
            <w:shd w:val="clear" w:color="auto" w:fill="F2F2F2" w:themeFill="background1" w:themeFillShade="F2"/>
          </w:tcPr>
          <w:p w:rsidR="00E659A9" w:rsidRPr="0051775B" w:rsidRDefault="00E659A9" w:rsidP="001731FC">
            <w:pPr>
              <w:rPr>
                <w:b/>
                <w:sz w:val="18"/>
                <w:szCs w:val="18"/>
              </w:rPr>
            </w:pP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r>
      <w:tr w:rsidR="00E659A9" w:rsidRPr="0051775B" w:rsidTr="00DF11CD">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Grup</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2,4,6</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1,3,5</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3,4,5,6</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4,6</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1,2,3,5</w:t>
            </w:r>
          </w:p>
        </w:tc>
      </w:tr>
      <w:tr w:rsidR="00E659A9" w:rsidRPr="0051775B" w:rsidTr="00DF11CD">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N</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26</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30</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r>
      <w:tr w:rsidR="00E659A9" w:rsidRPr="007A3C63" w:rsidTr="00DF11CD">
        <w:tc>
          <w:tcPr>
            <w:tcW w:w="5000" w:type="pct"/>
            <w:gridSpan w:val="7"/>
            <w:shd w:val="clear" w:color="auto" w:fill="000000" w:themeFill="text1"/>
          </w:tcPr>
          <w:p w:rsidR="00E659A9" w:rsidRPr="00461F9A" w:rsidRDefault="00E659A9" w:rsidP="001731FC">
            <w:pPr>
              <w:jc w:val="center"/>
              <w:rPr>
                <w:rFonts w:cstheme="minorHAnsi"/>
                <w:b/>
                <w:color w:val="FFFFFF" w:themeColor="background1"/>
                <w:sz w:val="18"/>
                <w:szCs w:val="18"/>
                <w:highlight w:val="yellow"/>
              </w:rPr>
            </w:pPr>
            <w:r w:rsidRPr="00461F9A">
              <w:rPr>
                <w:b/>
                <w:color w:val="FFFFFF" w:themeColor="background1"/>
                <w:sz w:val="18"/>
                <w:szCs w:val="18"/>
              </w:rPr>
              <w:t>PCA</w:t>
            </w:r>
          </w:p>
        </w:tc>
      </w:tr>
      <w:tr w:rsidR="00E659A9" w:rsidRPr="000B394C" w:rsidTr="00DF11CD">
        <w:tc>
          <w:tcPr>
            <w:tcW w:w="1565" w:type="pct"/>
          </w:tcPr>
          <w:p w:rsidR="00E659A9" w:rsidRPr="000B394C" w:rsidRDefault="00E659A9" w:rsidP="001731FC">
            <w:pPr>
              <w:rPr>
                <w:sz w:val="18"/>
                <w:szCs w:val="18"/>
              </w:rPr>
            </w:pPr>
            <w:r w:rsidRPr="000B394C">
              <w:rPr>
                <w:sz w:val="18"/>
                <w:szCs w:val="18"/>
              </w:rPr>
              <w:t>PRE-BUBBLE BHI PCA all</w:t>
            </w:r>
          </w:p>
        </w:tc>
        <w:tc>
          <w:tcPr>
            <w:tcW w:w="522" w:type="pct"/>
          </w:tcPr>
          <w:p w:rsidR="00E659A9" w:rsidRPr="00461F9A" w:rsidRDefault="00E659A9" w:rsidP="001731FC">
            <w:pPr>
              <w:jc w:val="center"/>
              <w:rPr>
                <w:sz w:val="18"/>
                <w:szCs w:val="18"/>
              </w:rPr>
            </w:pPr>
            <w:r w:rsidRPr="00461F9A">
              <w:rPr>
                <w:sz w:val="18"/>
                <w:szCs w:val="18"/>
              </w:rPr>
              <w:t>1,03</w:t>
            </w:r>
            <w:r w:rsidRPr="00461F9A">
              <w:rPr>
                <w:rFonts w:cstheme="minorHAnsi"/>
                <w:sz w:val="18"/>
                <w:szCs w:val="18"/>
              </w:rPr>
              <w:t>±0,40</w:t>
            </w:r>
          </w:p>
        </w:tc>
        <w:tc>
          <w:tcPr>
            <w:tcW w:w="523" w:type="pct"/>
          </w:tcPr>
          <w:p w:rsidR="00E659A9" w:rsidRPr="000B394C" w:rsidRDefault="00E659A9" w:rsidP="001731FC">
            <w:pPr>
              <w:jc w:val="center"/>
              <w:rPr>
                <w:sz w:val="18"/>
                <w:szCs w:val="18"/>
              </w:rPr>
            </w:pPr>
            <w:r w:rsidRPr="000B394C">
              <w:rPr>
                <w:sz w:val="18"/>
                <w:szCs w:val="18"/>
              </w:rPr>
              <w:t>1,15</w:t>
            </w:r>
            <w:r w:rsidRPr="000B394C">
              <w:rPr>
                <w:rFonts w:cstheme="minorHAnsi"/>
                <w:sz w:val="18"/>
                <w:szCs w:val="18"/>
              </w:rPr>
              <w:t>±0,42</w:t>
            </w:r>
          </w:p>
        </w:tc>
        <w:tc>
          <w:tcPr>
            <w:tcW w:w="597" w:type="pct"/>
          </w:tcPr>
          <w:p w:rsidR="00E659A9" w:rsidRPr="00461F9A" w:rsidRDefault="00E659A9" w:rsidP="001731FC">
            <w:pPr>
              <w:jc w:val="center"/>
              <w:rPr>
                <w:sz w:val="18"/>
                <w:szCs w:val="18"/>
              </w:rPr>
            </w:pPr>
            <w:r w:rsidRPr="00461F9A">
              <w:rPr>
                <w:rFonts w:cstheme="minorHAnsi"/>
                <w:sz w:val="18"/>
                <w:szCs w:val="18"/>
              </w:rPr>
              <w:t>1,13±0,44</w:t>
            </w:r>
          </w:p>
        </w:tc>
        <w:tc>
          <w:tcPr>
            <w:tcW w:w="597" w:type="pct"/>
          </w:tcPr>
          <w:p w:rsidR="00E659A9" w:rsidRPr="000B394C" w:rsidRDefault="00E659A9" w:rsidP="001731FC">
            <w:pPr>
              <w:jc w:val="center"/>
              <w:rPr>
                <w:sz w:val="18"/>
                <w:szCs w:val="18"/>
              </w:rPr>
            </w:pPr>
            <w:r w:rsidRPr="000B394C">
              <w:rPr>
                <w:rFonts w:cstheme="minorHAnsi"/>
                <w:sz w:val="18"/>
                <w:szCs w:val="18"/>
              </w:rPr>
              <w:t>1,00±0,33</w:t>
            </w:r>
          </w:p>
        </w:tc>
        <w:tc>
          <w:tcPr>
            <w:tcW w:w="597" w:type="pct"/>
          </w:tcPr>
          <w:p w:rsidR="00E659A9" w:rsidRPr="00461F9A" w:rsidRDefault="00E659A9" w:rsidP="001731FC">
            <w:pPr>
              <w:jc w:val="center"/>
              <w:rPr>
                <w:sz w:val="18"/>
                <w:szCs w:val="18"/>
              </w:rPr>
            </w:pPr>
            <w:r w:rsidRPr="00461F9A">
              <w:rPr>
                <w:rFonts w:cstheme="minorHAnsi"/>
                <w:sz w:val="18"/>
                <w:szCs w:val="18"/>
              </w:rPr>
              <w:t>1,01±0,40</w:t>
            </w:r>
          </w:p>
        </w:tc>
        <w:tc>
          <w:tcPr>
            <w:tcW w:w="597" w:type="pct"/>
          </w:tcPr>
          <w:p w:rsidR="00E659A9" w:rsidRPr="00461F9A" w:rsidRDefault="00E659A9" w:rsidP="001731FC">
            <w:pPr>
              <w:jc w:val="center"/>
              <w:rPr>
                <w:sz w:val="18"/>
                <w:szCs w:val="18"/>
              </w:rPr>
            </w:pPr>
            <w:r w:rsidRPr="00461F9A">
              <w:rPr>
                <w:rFonts w:cstheme="minorHAnsi"/>
                <w:sz w:val="18"/>
                <w:szCs w:val="18"/>
              </w:rPr>
              <w:t>1,13±0.42</w:t>
            </w:r>
          </w:p>
        </w:tc>
      </w:tr>
      <w:tr w:rsidR="00E659A9" w:rsidRPr="000B394C" w:rsidTr="00DF11CD">
        <w:tc>
          <w:tcPr>
            <w:tcW w:w="1565" w:type="pct"/>
          </w:tcPr>
          <w:p w:rsidR="00E659A9" w:rsidRPr="000B394C" w:rsidRDefault="00E659A9" w:rsidP="001731FC">
            <w:pPr>
              <w:rPr>
                <w:sz w:val="18"/>
                <w:szCs w:val="18"/>
              </w:rPr>
            </w:pPr>
            <w:r w:rsidRPr="000B394C">
              <w:rPr>
                <w:sz w:val="18"/>
                <w:szCs w:val="18"/>
              </w:rPr>
              <w:t>POST-BUBBLE BHI PCA all</w:t>
            </w:r>
          </w:p>
        </w:tc>
        <w:tc>
          <w:tcPr>
            <w:tcW w:w="522" w:type="pct"/>
          </w:tcPr>
          <w:p w:rsidR="00E659A9" w:rsidRPr="00461F9A" w:rsidRDefault="00E659A9" w:rsidP="001731FC">
            <w:pPr>
              <w:jc w:val="center"/>
              <w:rPr>
                <w:sz w:val="18"/>
                <w:szCs w:val="18"/>
              </w:rPr>
            </w:pPr>
            <w:r w:rsidRPr="00461F9A">
              <w:rPr>
                <w:sz w:val="18"/>
                <w:szCs w:val="18"/>
              </w:rPr>
              <w:t>0,78</w:t>
            </w:r>
            <w:r w:rsidRPr="00461F9A">
              <w:rPr>
                <w:rFonts w:cstheme="minorHAnsi"/>
                <w:sz w:val="18"/>
                <w:szCs w:val="18"/>
              </w:rPr>
              <w:t>±0,38</w:t>
            </w:r>
          </w:p>
        </w:tc>
        <w:tc>
          <w:tcPr>
            <w:tcW w:w="523" w:type="pct"/>
          </w:tcPr>
          <w:p w:rsidR="00E659A9" w:rsidRPr="000B394C" w:rsidRDefault="00E659A9" w:rsidP="001731FC">
            <w:pPr>
              <w:jc w:val="center"/>
              <w:rPr>
                <w:sz w:val="18"/>
                <w:szCs w:val="18"/>
              </w:rPr>
            </w:pPr>
            <w:r w:rsidRPr="000B394C">
              <w:rPr>
                <w:sz w:val="18"/>
                <w:szCs w:val="18"/>
              </w:rPr>
              <w:t>0.91</w:t>
            </w:r>
            <w:r w:rsidRPr="000B394C">
              <w:rPr>
                <w:rFonts w:cstheme="minorHAnsi"/>
                <w:sz w:val="18"/>
                <w:szCs w:val="18"/>
              </w:rPr>
              <w:t>±0,45</w:t>
            </w:r>
          </w:p>
        </w:tc>
        <w:tc>
          <w:tcPr>
            <w:tcW w:w="597" w:type="pct"/>
          </w:tcPr>
          <w:p w:rsidR="00E659A9" w:rsidRPr="00461F9A" w:rsidRDefault="00E659A9" w:rsidP="001731FC">
            <w:pPr>
              <w:jc w:val="center"/>
              <w:rPr>
                <w:sz w:val="18"/>
                <w:szCs w:val="18"/>
              </w:rPr>
            </w:pPr>
            <w:r w:rsidRPr="00461F9A">
              <w:rPr>
                <w:rFonts w:cstheme="minorHAnsi"/>
                <w:sz w:val="18"/>
                <w:szCs w:val="18"/>
              </w:rPr>
              <w:t>0.88±0,45</w:t>
            </w:r>
          </w:p>
        </w:tc>
        <w:tc>
          <w:tcPr>
            <w:tcW w:w="597" w:type="pct"/>
          </w:tcPr>
          <w:p w:rsidR="00E659A9" w:rsidRPr="000B394C" w:rsidRDefault="00E659A9" w:rsidP="001731FC">
            <w:pPr>
              <w:jc w:val="center"/>
              <w:rPr>
                <w:sz w:val="18"/>
                <w:szCs w:val="18"/>
              </w:rPr>
            </w:pPr>
            <w:r w:rsidRPr="000B394C">
              <w:rPr>
                <w:rFonts w:cstheme="minorHAnsi"/>
                <w:sz w:val="18"/>
                <w:szCs w:val="18"/>
              </w:rPr>
              <w:t>0,79±0,36</w:t>
            </w:r>
          </w:p>
        </w:tc>
        <w:tc>
          <w:tcPr>
            <w:tcW w:w="597" w:type="pct"/>
          </w:tcPr>
          <w:p w:rsidR="00E659A9" w:rsidRPr="00461F9A" w:rsidRDefault="00E659A9" w:rsidP="001731FC">
            <w:pPr>
              <w:jc w:val="center"/>
              <w:rPr>
                <w:sz w:val="18"/>
                <w:szCs w:val="18"/>
              </w:rPr>
            </w:pPr>
            <w:r w:rsidRPr="00461F9A">
              <w:rPr>
                <w:rFonts w:cstheme="minorHAnsi"/>
                <w:sz w:val="18"/>
                <w:szCs w:val="18"/>
              </w:rPr>
              <w:t>0,76±0,42</w:t>
            </w:r>
          </w:p>
        </w:tc>
        <w:tc>
          <w:tcPr>
            <w:tcW w:w="597" w:type="pct"/>
          </w:tcPr>
          <w:p w:rsidR="00E659A9" w:rsidRPr="00461F9A" w:rsidRDefault="00E659A9" w:rsidP="001731FC">
            <w:pPr>
              <w:jc w:val="center"/>
              <w:rPr>
                <w:sz w:val="18"/>
                <w:szCs w:val="18"/>
              </w:rPr>
            </w:pPr>
            <w:r w:rsidRPr="00461F9A">
              <w:rPr>
                <w:rFonts w:cstheme="minorHAnsi"/>
                <w:sz w:val="18"/>
                <w:szCs w:val="18"/>
              </w:rPr>
              <w:t>0,89±0,42</w:t>
            </w:r>
          </w:p>
        </w:tc>
      </w:tr>
      <w:tr w:rsidR="00E659A9" w:rsidRPr="000B394C" w:rsidTr="00DF11CD">
        <w:tc>
          <w:tcPr>
            <w:tcW w:w="1565" w:type="pct"/>
            <w:shd w:val="clear" w:color="auto" w:fill="F2F2F2" w:themeFill="background1" w:themeFillShade="F2"/>
          </w:tcPr>
          <w:p w:rsidR="00E659A9" w:rsidRPr="000B394C" w:rsidRDefault="00E659A9" w:rsidP="001731FC">
            <w:pPr>
              <w:rPr>
                <w:sz w:val="18"/>
                <w:szCs w:val="18"/>
              </w:rPr>
            </w:pPr>
            <w:r w:rsidRPr="000B394C">
              <w:rPr>
                <w:sz w:val="18"/>
                <w:szCs w:val="18"/>
              </w:rPr>
              <w:t>P</w:t>
            </w:r>
          </w:p>
        </w:tc>
        <w:tc>
          <w:tcPr>
            <w:tcW w:w="522" w:type="pct"/>
            <w:shd w:val="clear" w:color="auto" w:fill="F2F2F2" w:themeFill="background1" w:themeFillShade="F2"/>
          </w:tcPr>
          <w:p w:rsidR="00E659A9" w:rsidRPr="00461F9A" w:rsidRDefault="00E659A9">
            <w:pPr>
              <w:jc w:val="center"/>
              <w:rPr>
                <w:sz w:val="18"/>
                <w:szCs w:val="18"/>
              </w:rPr>
            </w:pPr>
            <w:r w:rsidRPr="00461F9A">
              <w:rPr>
                <w:sz w:val="18"/>
                <w:szCs w:val="18"/>
              </w:rPr>
              <w:t>0,007</w:t>
            </w:r>
          </w:p>
        </w:tc>
        <w:tc>
          <w:tcPr>
            <w:tcW w:w="523"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0,014</w:t>
            </w:r>
          </w:p>
        </w:tc>
        <w:tc>
          <w:tcPr>
            <w:tcW w:w="597" w:type="pct"/>
            <w:shd w:val="clear" w:color="auto" w:fill="F2F2F2" w:themeFill="background1" w:themeFillShade="F2"/>
          </w:tcPr>
          <w:p w:rsidR="00E659A9" w:rsidRPr="00461F9A" w:rsidRDefault="00E659A9">
            <w:pPr>
              <w:jc w:val="center"/>
              <w:rPr>
                <w:sz w:val="18"/>
                <w:szCs w:val="18"/>
              </w:rPr>
            </w:pPr>
            <w:r w:rsidRPr="00461F9A">
              <w:rPr>
                <w:sz w:val="18"/>
                <w:szCs w:val="18"/>
              </w:rPr>
              <w:t>0.002</w:t>
            </w:r>
          </w:p>
        </w:tc>
        <w:tc>
          <w:tcPr>
            <w:tcW w:w="597"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0,056</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0,023</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0,004</w:t>
            </w:r>
          </w:p>
        </w:tc>
      </w:tr>
      <w:tr w:rsidR="00E659A9" w:rsidRPr="000B394C" w:rsidTr="00DF11CD">
        <w:tc>
          <w:tcPr>
            <w:tcW w:w="1565" w:type="pct"/>
          </w:tcPr>
          <w:p w:rsidR="00E659A9" w:rsidRPr="000B394C" w:rsidRDefault="00E659A9" w:rsidP="001731FC">
            <w:pPr>
              <w:rPr>
                <w:sz w:val="18"/>
                <w:szCs w:val="18"/>
              </w:rPr>
            </w:pPr>
            <w:r w:rsidRPr="000B394C">
              <w:rPr>
                <w:sz w:val="18"/>
                <w:szCs w:val="18"/>
              </w:rPr>
              <w:t>PRE-BUBBLE BHI PCA ipsilateral</w:t>
            </w:r>
          </w:p>
        </w:tc>
        <w:tc>
          <w:tcPr>
            <w:tcW w:w="522" w:type="pct"/>
          </w:tcPr>
          <w:p w:rsidR="00E659A9" w:rsidRPr="000B394C" w:rsidRDefault="00E659A9" w:rsidP="001731FC">
            <w:pPr>
              <w:jc w:val="center"/>
              <w:rPr>
                <w:sz w:val="18"/>
                <w:szCs w:val="18"/>
              </w:rPr>
            </w:pPr>
            <w:r w:rsidRPr="000B394C">
              <w:rPr>
                <w:sz w:val="18"/>
                <w:szCs w:val="18"/>
              </w:rPr>
              <w:t>1,02</w:t>
            </w:r>
            <w:r w:rsidRPr="000B394C">
              <w:rPr>
                <w:rFonts w:cstheme="minorHAnsi"/>
                <w:sz w:val="18"/>
                <w:szCs w:val="18"/>
              </w:rPr>
              <w:t>±0,46</w:t>
            </w:r>
          </w:p>
        </w:tc>
        <w:tc>
          <w:tcPr>
            <w:tcW w:w="523" w:type="pct"/>
          </w:tcPr>
          <w:p w:rsidR="00E659A9" w:rsidRPr="000B394C" w:rsidRDefault="00E659A9" w:rsidP="001731FC">
            <w:pPr>
              <w:jc w:val="center"/>
              <w:rPr>
                <w:sz w:val="18"/>
                <w:szCs w:val="18"/>
              </w:rPr>
            </w:pPr>
            <w:r w:rsidRPr="000B394C">
              <w:rPr>
                <w:sz w:val="18"/>
                <w:szCs w:val="18"/>
              </w:rPr>
              <w:t>1,11</w:t>
            </w:r>
            <w:r w:rsidRPr="000B394C">
              <w:rPr>
                <w:rFonts w:cstheme="minorHAnsi"/>
                <w:sz w:val="18"/>
                <w:szCs w:val="18"/>
              </w:rPr>
              <w:t>±0,42</w:t>
            </w:r>
          </w:p>
        </w:tc>
        <w:tc>
          <w:tcPr>
            <w:tcW w:w="597" w:type="pct"/>
          </w:tcPr>
          <w:p w:rsidR="00E659A9" w:rsidRPr="00461F9A" w:rsidRDefault="00E659A9" w:rsidP="001731FC">
            <w:pPr>
              <w:jc w:val="center"/>
              <w:rPr>
                <w:sz w:val="18"/>
                <w:szCs w:val="18"/>
              </w:rPr>
            </w:pPr>
            <w:r w:rsidRPr="00461F9A">
              <w:rPr>
                <w:rFonts w:cstheme="minorHAnsi"/>
                <w:sz w:val="18"/>
                <w:szCs w:val="18"/>
              </w:rPr>
              <w:t>1,09±0,45</w:t>
            </w:r>
          </w:p>
        </w:tc>
        <w:tc>
          <w:tcPr>
            <w:tcW w:w="597" w:type="pct"/>
          </w:tcPr>
          <w:p w:rsidR="00E659A9" w:rsidRPr="000B394C" w:rsidRDefault="00E659A9" w:rsidP="001731FC">
            <w:pPr>
              <w:jc w:val="center"/>
              <w:rPr>
                <w:sz w:val="18"/>
                <w:szCs w:val="18"/>
              </w:rPr>
            </w:pPr>
            <w:r w:rsidRPr="000B394C">
              <w:rPr>
                <w:rFonts w:cstheme="minorHAnsi"/>
                <w:sz w:val="18"/>
                <w:szCs w:val="18"/>
              </w:rPr>
              <w:t>1,02±0,43</w:t>
            </w:r>
          </w:p>
        </w:tc>
        <w:tc>
          <w:tcPr>
            <w:tcW w:w="597" w:type="pct"/>
          </w:tcPr>
          <w:p w:rsidR="00E659A9" w:rsidRPr="000B394C" w:rsidRDefault="00E659A9" w:rsidP="001731FC">
            <w:pPr>
              <w:jc w:val="center"/>
              <w:rPr>
                <w:sz w:val="18"/>
                <w:szCs w:val="18"/>
              </w:rPr>
            </w:pPr>
            <w:r w:rsidRPr="000B394C">
              <w:rPr>
                <w:rFonts w:cstheme="minorHAnsi"/>
                <w:sz w:val="18"/>
                <w:szCs w:val="18"/>
              </w:rPr>
              <w:t>0,96±0,42</w:t>
            </w:r>
          </w:p>
        </w:tc>
        <w:tc>
          <w:tcPr>
            <w:tcW w:w="597" w:type="pct"/>
          </w:tcPr>
          <w:p w:rsidR="00E659A9" w:rsidRPr="00461F9A" w:rsidRDefault="00E659A9" w:rsidP="001731FC">
            <w:pPr>
              <w:jc w:val="center"/>
              <w:rPr>
                <w:sz w:val="18"/>
                <w:szCs w:val="18"/>
              </w:rPr>
            </w:pPr>
            <w:r w:rsidRPr="00461F9A">
              <w:rPr>
                <w:rFonts w:cstheme="minorHAnsi"/>
                <w:sz w:val="18"/>
                <w:szCs w:val="18"/>
              </w:rPr>
              <w:t>1,12±0,44</w:t>
            </w:r>
          </w:p>
        </w:tc>
      </w:tr>
      <w:tr w:rsidR="00E659A9" w:rsidRPr="000B394C" w:rsidTr="00DF11CD">
        <w:tc>
          <w:tcPr>
            <w:tcW w:w="1565" w:type="pct"/>
          </w:tcPr>
          <w:p w:rsidR="00E659A9" w:rsidRPr="000B394C" w:rsidRDefault="00E659A9" w:rsidP="001731FC">
            <w:pPr>
              <w:rPr>
                <w:sz w:val="18"/>
                <w:szCs w:val="18"/>
              </w:rPr>
            </w:pPr>
            <w:r w:rsidRPr="000B394C">
              <w:rPr>
                <w:sz w:val="18"/>
                <w:szCs w:val="18"/>
              </w:rPr>
              <w:t>POST-BUBBLE BHI PCA ipsilateral</w:t>
            </w:r>
          </w:p>
        </w:tc>
        <w:tc>
          <w:tcPr>
            <w:tcW w:w="522" w:type="pct"/>
          </w:tcPr>
          <w:p w:rsidR="00E659A9" w:rsidRPr="000B394C" w:rsidRDefault="00E659A9" w:rsidP="001731FC">
            <w:pPr>
              <w:jc w:val="center"/>
              <w:rPr>
                <w:sz w:val="18"/>
                <w:szCs w:val="18"/>
              </w:rPr>
            </w:pPr>
            <w:r w:rsidRPr="000B394C">
              <w:rPr>
                <w:sz w:val="18"/>
                <w:szCs w:val="18"/>
              </w:rPr>
              <w:t>0,80</w:t>
            </w:r>
            <w:r w:rsidRPr="000B394C">
              <w:rPr>
                <w:rFonts w:cstheme="minorHAnsi"/>
                <w:sz w:val="18"/>
                <w:szCs w:val="18"/>
              </w:rPr>
              <w:t>±0,45</w:t>
            </w:r>
          </w:p>
        </w:tc>
        <w:tc>
          <w:tcPr>
            <w:tcW w:w="523" w:type="pct"/>
          </w:tcPr>
          <w:p w:rsidR="00E659A9" w:rsidRPr="000B394C" w:rsidRDefault="00E659A9" w:rsidP="001731FC">
            <w:pPr>
              <w:jc w:val="center"/>
              <w:rPr>
                <w:sz w:val="18"/>
                <w:szCs w:val="18"/>
              </w:rPr>
            </w:pPr>
            <w:r w:rsidRPr="000B394C">
              <w:rPr>
                <w:sz w:val="18"/>
                <w:szCs w:val="18"/>
              </w:rPr>
              <w:t>0.95</w:t>
            </w:r>
            <w:r w:rsidRPr="000B394C">
              <w:rPr>
                <w:rFonts w:cstheme="minorHAnsi"/>
                <w:sz w:val="18"/>
                <w:szCs w:val="18"/>
              </w:rPr>
              <w:t>±0,51</w:t>
            </w:r>
          </w:p>
        </w:tc>
        <w:tc>
          <w:tcPr>
            <w:tcW w:w="597" w:type="pct"/>
          </w:tcPr>
          <w:p w:rsidR="00E659A9" w:rsidRPr="00461F9A" w:rsidRDefault="00E659A9" w:rsidP="001731FC">
            <w:pPr>
              <w:jc w:val="center"/>
              <w:rPr>
                <w:sz w:val="18"/>
                <w:szCs w:val="18"/>
              </w:rPr>
            </w:pPr>
            <w:r w:rsidRPr="00461F9A">
              <w:rPr>
                <w:rFonts w:cstheme="minorHAnsi"/>
                <w:sz w:val="18"/>
                <w:szCs w:val="18"/>
              </w:rPr>
              <w:t>0,93±0,51</w:t>
            </w:r>
          </w:p>
        </w:tc>
        <w:tc>
          <w:tcPr>
            <w:tcW w:w="597" w:type="pct"/>
          </w:tcPr>
          <w:p w:rsidR="00E659A9" w:rsidRPr="000B394C" w:rsidRDefault="00E659A9" w:rsidP="001731FC">
            <w:pPr>
              <w:jc w:val="center"/>
              <w:rPr>
                <w:sz w:val="18"/>
                <w:szCs w:val="18"/>
              </w:rPr>
            </w:pPr>
            <w:r w:rsidRPr="000B394C">
              <w:rPr>
                <w:rFonts w:cstheme="minorHAnsi"/>
                <w:sz w:val="18"/>
                <w:szCs w:val="18"/>
              </w:rPr>
              <w:t>0,77±0,40</w:t>
            </w:r>
          </w:p>
        </w:tc>
        <w:tc>
          <w:tcPr>
            <w:tcW w:w="597" w:type="pct"/>
          </w:tcPr>
          <w:p w:rsidR="00E659A9" w:rsidRPr="000B394C" w:rsidRDefault="00E659A9" w:rsidP="001731FC">
            <w:pPr>
              <w:jc w:val="center"/>
              <w:rPr>
                <w:sz w:val="18"/>
                <w:szCs w:val="18"/>
              </w:rPr>
            </w:pPr>
            <w:r w:rsidRPr="000B394C">
              <w:rPr>
                <w:rFonts w:cstheme="minorHAnsi"/>
                <w:sz w:val="18"/>
                <w:szCs w:val="18"/>
              </w:rPr>
              <w:t>0,80±0,51</w:t>
            </w:r>
          </w:p>
        </w:tc>
        <w:tc>
          <w:tcPr>
            <w:tcW w:w="597" w:type="pct"/>
          </w:tcPr>
          <w:p w:rsidR="00E659A9" w:rsidRPr="00461F9A" w:rsidRDefault="00E659A9" w:rsidP="001731FC">
            <w:pPr>
              <w:jc w:val="center"/>
              <w:rPr>
                <w:sz w:val="18"/>
                <w:szCs w:val="18"/>
              </w:rPr>
            </w:pPr>
            <w:r w:rsidRPr="00461F9A">
              <w:rPr>
                <w:rFonts w:cstheme="minorHAnsi"/>
                <w:sz w:val="18"/>
                <w:szCs w:val="18"/>
              </w:rPr>
              <w:t>0.91±0,47</w:t>
            </w:r>
          </w:p>
        </w:tc>
      </w:tr>
      <w:tr w:rsidR="00E659A9" w:rsidRPr="000B394C" w:rsidTr="00DF11CD">
        <w:tc>
          <w:tcPr>
            <w:tcW w:w="1565" w:type="pct"/>
            <w:shd w:val="clear" w:color="auto" w:fill="F2F2F2" w:themeFill="background1" w:themeFillShade="F2"/>
          </w:tcPr>
          <w:p w:rsidR="00E659A9" w:rsidRPr="000B394C" w:rsidRDefault="00E659A9" w:rsidP="001731FC">
            <w:pPr>
              <w:rPr>
                <w:sz w:val="18"/>
                <w:szCs w:val="18"/>
              </w:rPr>
            </w:pPr>
            <w:r w:rsidRPr="000B394C">
              <w:rPr>
                <w:sz w:val="18"/>
                <w:szCs w:val="18"/>
              </w:rPr>
              <w:t>P</w:t>
            </w:r>
          </w:p>
        </w:tc>
        <w:tc>
          <w:tcPr>
            <w:tcW w:w="522" w:type="pct"/>
            <w:shd w:val="clear" w:color="auto" w:fill="F2F2F2" w:themeFill="background1" w:themeFillShade="F2"/>
          </w:tcPr>
          <w:p w:rsidR="00E659A9" w:rsidRPr="000B394C" w:rsidRDefault="00E659A9">
            <w:pPr>
              <w:jc w:val="center"/>
              <w:rPr>
                <w:sz w:val="18"/>
                <w:szCs w:val="18"/>
              </w:rPr>
            </w:pPr>
            <w:r w:rsidRPr="000B394C">
              <w:rPr>
                <w:sz w:val="18"/>
                <w:szCs w:val="18"/>
              </w:rPr>
              <w:t>0,63</w:t>
            </w:r>
          </w:p>
        </w:tc>
        <w:tc>
          <w:tcPr>
            <w:tcW w:w="523"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0.086</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0.048</w:t>
            </w:r>
          </w:p>
        </w:tc>
        <w:tc>
          <w:tcPr>
            <w:tcW w:w="597"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0,114</w:t>
            </w:r>
          </w:p>
        </w:tc>
        <w:tc>
          <w:tcPr>
            <w:tcW w:w="597"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0,233</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0,024</w:t>
            </w:r>
          </w:p>
        </w:tc>
      </w:tr>
      <w:tr w:rsidR="00E659A9" w:rsidRPr="000B394C" w:rsidTr="00DF11CD">
        <w:tc>
          <w:tcPr>
            <w:tcW w:w="1565" w:type="pct"/>
          </w:tcPr>
          <w:p w:rsidR="00E659A9" w:rsidRPr="000B394C" w:rsidRDefault="00E659A9" w:rsidP="001731FC">
            <w:pPr>
              <w:rPr>
                <w:sz w:val="18"/>
                <w:szCs w:val="18"/>
              </w:rPr>
            </w:pPr>
            <w:r w:rsidRPr="000B394C">
              <w:rPr>
                <w:sz w:val="18"/>
                <w:szCs w:val="18"/>
              </w:rPr>
              <w:t>PRE-BUBBLE BHI PCA contrlateral</w:t>
            </w:r>
          </w:p>
        </w:tc>
        <w:tc>
          <w:tcPr>
            <w:tcW w:w="522" w:type="pct"/>
          </w:tcPr>
          <w:p w:rsidR="00E659A9" w:rsidRPr="00461F9A" w:rsidRDefault="00E659A9" w:rsidP="001731FC">
            <w:pPr>
              <w:jc w:val="center"/>
              <w:rPr>
                <w:sz w:val="18"/>
                <w:szCs w:val="18"/>
              </w:rPr>
            </w:pPr>
            <w:r w:rsidRPr="00461F9A">
              <w:rPr>
                <w:sz w:val="18"/>
                <w:szCs w:val="18"/>
              </w:rPr>
              <w:t>1,03</w:t>
            </w:r>
            <w:r w:rsidRPr="00461F9A">
              <w:rPr>
                <w:rFonts w:cstheme="minorHAnsi"/>
                <w:sz w:val="18"/>
                <w:szCs w:val="18"/>
              </w:rPr>
              <w:t>±0,42</w:t>
            </w:r>
          </w:p>
        </w:tc>
        <w:tc>
          <w:tcPr>
            <w:tcW w:w="523" w:type="pct"/>
          </w:tcPr>
          <w:p w:rsidR="00E659A9" w:rsidRPr="000B394C" w:rsidRDefault="00E659A9" w:rsidP="001731FC">
            <w:pPr>
              <w:jc w:val="center"/>
              <w:rPr>
                <w:sz w:val="18"/>
                <w:szCs w:val="18"/>
              </w:rPr>
            </w:pPr>
            <w:r w:rsidRPr="000B394C">
              <w:rPr>
                <w:sz w:val="18"/>
                <w:szCs w:val="18"/>
              </w:rPr>
              <w:t>1,17</w:t>
            </w:r>
            <w:r w:rsidRPr="000B394C">
              <w:rPr>
                <w:rFonts w:cstheme="minorHAnsi"/>
                <w:sz w:val="18"/>
                <w:szCs w:val="18"/>
              </w:rPr>
              <w:t>±0,47</w:t>
            </w:r>
          </w:p>
        </w:tc>
        <w:tc>
          <w:tcPr>
            <w:tcW w:w="597" w:type="pct"/>
          </w:tcPr>
          <w:p w:rsidR="00E659A9" w:rsidRPr="00461F9A" w:rsidRDefault="00E659A9" w:rsidP="001731FC">
            <w:pPr>
              <w:jc w:val="center"/>
              <w:rPr>
                <w:sz w:val="18"/>
                <w:szCs w:val="18"/>
              </w:rPr>
            </w:pPr>
            <w:r w:rsidRPr="00461F9A">
              <w:rPr>
                <w:rFonts w:cstheme="minorHAnsi"/>
                <w:sz w:val="18"/>
                <w:szCs w:val="18"/>
              </w:rPr>
              <w:t>1,17±0,50</w:t>
            </w:r>
          </w:p>
        </w:tc>
        <w:tc>
          <w:tcPr>
            <w:tcW w:w="597" w:type="pct"/>
          </w:tcPr>
          <w:p w:rsidR="00E659A9" w:rsidRPr="000B394C" w:rsidRDefault="00E659A9" w:rsidP="001731FC">
            <w:pPr>
              <w:jc w:val="center"/>
              <w:rPr>
                <w:sz w:val="18"/>
                <w:szCs w:val="18"/>
              </w:rPr>
            </w:pPr>
            <w:r w:rsidRPr="000B394C">
              <w:rPr>
                <w:rFonts w:cstheme="minorHAnsi"/>
                <w:sz w:val="18"/>
                <w:szCs w:val="18"/>
              </w:rPr>
              <w:t>0,98±0,32</w:t>
            </w:r>
          </w:p>
        </w:tc>
        <w:tc>
          <w:tcPr>
            <w:tcW w:w="597" w:type="pct"/>
          </w:tcPr>
          <w:p w:rsidR="00E659A9" w:rsidRPr="00461F9A" w:rsidRDefault="00E659A9" w:rsidP="001731FC">
            <w:pPr>
              <w:jc w:val="center"/>
              <w:rPr>
                <w:sz w:val="18"/>
                <w:szCs w:val="18"/>
              </w:rPr>
            </w:pPr>
            <w:r w:rsidRPr="00461F9A">
              <w:rPr>
                <w:rFonts w:cstheme="minorHAnsi"/>
                <w:sz w:val="18"/>
                <w:szCs w:val="18"/>
              </w:rPr>
              <w:t>1,05±0,46</w:t>
            </w:r>
          </w:p>
        </w:tc>
        <w:tc>
          <w:tcPr>
            <w:tcW w:w="597" w:type="pct"/>
          </w:tcPr>
          <w:p w:rsidR="00E659A9" w:rsidRPr="00461F9A" w:rsidRDefault="00E659A9" w:rsidP="001731FC">
            <w:pPr>
              <w:jc w:val="center"/>
              <w:rPr>
                <w:sz w:val="18"/>
                <w:szCs w:val="18"/>
              </w:rPr>
            </w:pPr>
            <w:r w:rsidRPr="00461F9A">
              <w:rPr>
                <w:rFonts w:cstheme="minorHAnsi"/>
                <w:sz w:val="18"/>
                <w:szCs w:val="18"/>
              </w:rPr>
              <w:t>1,13±0,46</w:t>
            </w:r>
          </w:p>
        </w:tc>
      </w:tr>
      <w:tr w:rsidR="00E659A9" w:rsidRPr="000B394C" w:rsidTr="00DF11CD">
        <w:tc>
          <w:tcPr>
            <w:tcW w:w="1565" w:type="pct"/>
          </w:tcPr>
          <w:p w:rsidR="00E659A9" w:rsidRPr="000B394C" w:rsidRDefault="00E659A9" w:rsidP="001731FC">
            <w:pPr>
              <w:rPr>
                <w:sz w:val="18"/>
                <w:szCs w:val="18"/>
              </w:rPr>
            </w:pPr>
            <w:r w:rsidRPr="000B394C">
              <w:rPr>
                <w:sz w:val="18"/>
                <w:szCs w:val="18"/>
              </w:rPr>
              <w:t>POST-BUBBLE BHI PCA contrlateral</w:t>
            </w:r>
          </w:p>
        </w:tc>
        <w:tc>
          <w:tcPr>
            <w:tcW w:w="522" w:type="pct"/>
          </w:tcPr>
          <w:p w:rsidR="00E659A9" w:rsidRPr="00461F9A" w:rsidRDefault="00E659A9" w:rsidP="001731FC">
            <w:pPr>
              <w:jc w:val="center"/>
              <w:rPr>
                <w:sz w:val="18"/>
                <w:szCs w:val="18"/>
              </w:rPr>
            </w:pPr>
            <w:r w:rsidRPr="00461F9A">
              <w:rPr>
                <w:sz w:val="18"/>
                <w:szCs w:val="18"/>
              </w:rPr>
              <w:t>0,76</w:t>
            </w:r>
            <w:r w:rsidRPr="00461F9A">
              <w:rPr>
                <w:rFonts w:cstheme="minorHAnsi"/>
                <w:sz w:val="18"/>
                <w:szCs w:val="18"/>
              </w:rPr>
              <w:t>±0,44</w:t>
            </w:r>
          </w:p>
        </w:tc>
        <w:tc>
          <w:tcPr>
            <w:tcW w:w="523" w:type="pct"/>
          </w:tcPr>
          <w:p w:rsidR="00E659A9" w:rsidRPr="000B394C" w:rsidRDefault="00E659A9" w:rsidP="001731FC">
            <w:pPr>
              <w:jc w:val="center"/>
              <w:rPr>
                <w:sz w:val="18"/>
                <w:szCs w:val="18"/>
              </w:rPr>
            </w:pPr>
            <w:r w:rsidRPr="000B394C">
              <w:rPr>
                <w:sz w:val="18"/>
                <w:szCs w:val="18"/>
              </w:rPr>
              <w:t>0.90</w:t>
            </w:r>
            <w:r w:rsidRPr="000B394C">
              <w:rPr>
                <w:rFonts w:cstheme="minorHAnsi"/>
                <w:sz w:val="18"/>
                <w:szCs w:val="18"/>
              </w:rPr>
              <w:t>±0,44</w:t>
            </w:r>
          </w:p>
        </w:tc>
        <w:tc>
          <w:tcPr>
            <w:tcW w:w="597" w:type="pct"/>
          </w:tcPr>
          <w:p w:rsidR="00E659A9" w:rsidRPr="00461F9A" w:rsidRDefault="00E659A9" w:rsidP="001731FC">
            <w:pPr>
              <w:jc w:val="center"/>
              <w:rPr>
                <w:sz w:val="18"/>
                <w:szCs w:val="18"/>
              </w:rPr>
            </w:pPr>
            <w:r w:rsidRPr="00461F9A">
              <w:rPr>
                <w:rFonts w:cstheme="minorHAnsi"/>
                <w:sz w:val="18"/>
                <w:szCs w:val="18"/>
              </w:rPr>
              <w:t>0,85±0,42</w:t>
            </w:r>
          </w:p>
        </w:tc>
        <w:tc>
          <w:tcPr>
            <w:tcW w:w="597" w:type="pct"/>
          </w:tcPr>
          <w:p w:rsidR="00E659A9" w:rsidRPr="000B394C" w:rsidRDefault="00E659A9" w:rsidP="001731FC">
            <w:pPr>
              <w:jc w:val="center"/>
              <w:rPr>
                <w:sz w:val="18"/>
                <w:szCs w:val="18"/>
              </w:rPr>
            </w:pPr>
            <w:r w:rsidRPr="000B394C">
              <w:rPr>
                <w:rFonts w:cstheme="minorHAnsi"/>
                <w:sz w:val="18"/>
                <w:szCs w:val="18"/>
              </w:rPr>
              <w:t>0,80±0,38</w:t>
            </w:r>
          </w:p>
        </w:tc>
        <w:tc>
          <w:tcPr>
            <w:tcW w:w="597" w:type="pct"/>
          </w:tcPr>
          <w:p w:rsidR="00E659A9" w:rsidRPr="00461F9A" w:rsidRDefault="00E659A9" w:rsidP="001731FC">
            <w:pPr>
              <w:jc w:val="center"/>
              <w:rPr>
                <w:sz w:val="18"/>
                <w:szCs w:val="18"/>
              </w:rPr>
            </w:pPr>
            <w:r w:rsidRPr="00461F9A">
              <w:rPr>
                <w:rFonts w:cstheme="minorHAnsi"/>
                <w:sz w:val="18"/>
                <w:szCs w:val="18"/>
              </w:rPr>
              <w:t>0,72±0,38</w:t>
            </w:r>
          </w:p>
        </w:tc>
        <w:tc>
          <w:tcPr>
            <w:tcW w:w="597" w:type="pct"/>
          </w:tcPr>
          <w:p w:rsidR="00E659A9" w:rsidRPr="00461F9A" w:rsidRDefault="00E659A9" w:rsidP="001731FC">
            <w:pPr>
              <w:jc w:val="center"/>
              <w:rPr>
                <w:sz w:val="18"/>
                <w:szCs w:val="18"/>
              </w:rPr>
            </w:pPr>
            <w:r w:rsidRPr="00461F9A">
              <w:rPr>
                <w:rFonts w:cstheme="minorHAnsi"/>
                <w:sz w:val="18"/>
                <w:szCs w:val="18"/>
              </w:rPr>
              <w:t>0.89±0,42</w:t>
            </w:r>
          </w:p>
        </w:tc>
      </w:tr>
      <w:tr w:rsidR="00E659A9" w:rsidRPr="0051775B" w:rsidTr="00DF11CD">
        <w:tc>
          <w:tcPr>
            <w:tcW w:w="1565" w:type="pct"/>
            <w:shd w:val="clear" w:color="auto" w:fill="F2F2F2" w:themeFill="background1" w:themeFillShade="F2"/>
          </w:tcPr>
          <w:p w:rsidR="00E659A9" w:rsidRPr="000B394C" w:rsidRDefault="00E659A9" w:rsidP="001731FC">
            <w:pPr>
              <w:rPr>
                <w:sz w:val="18"/>
                <w:szCs w:val="18"/>
              </w:rPr>
            </w:pPr>
            <w:r w:rsidRPr="000B394C">
              <w:rPr>
                <w:sz w:val="18"/>
                <w:szCs w:val="18"/>
              </w:rPr>
              <w:t>P</w:t>
            </w:r>
          </w:p>
        </w:tc>
        <w:tc>
          <w:tcPr>
            <w:tcW w:w="522" w:type="pct"/>
            <w:shd w:val="clear" w:color="auto" w:fill="F2F2F2" w:themeFill="background1" w:themeFillShade="F2"/>
          </w:tcPr>
          <w:p w:rsidR="00E659A9" w:rsidRPr="00461F9A" w:rsidRDefault="00E659A9">
            <w:pPr>
              <w:jc w:val="center"/>
              <w:rPr>
                <w:sz w:val="18"/>
                <w:szCs w:val="18"/>
              </w:rPr>
            </w:pPr>
            <w:r w:rsidRPr="00461F9A">
              <w:rPr>
                <w:sz w:val="18"/>
                <w:szCs w:val="18"/>
              </w:rPr>
              <w:t>0,005</w:t>
            </w:r>
          </w:p>
        </w:tc>
        <w:tc>
          <w:tcPr>
            <w:tcW w:w="523"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0.010</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0,001</w:t>
            </w:r>
          </w:p>
        </w:tc>
        <w:tc>
          <w:tcPr>
            <w:tcW w:w="597" w:type="pct"/>
            <w:shd w:val="clear" w:color="auto" w:fill="F2F2F2" w:themeFill="background1" w:themeFillShade="F2"/>
          </w:tcPr>
          <w:p w:rsidR="00E659A9" w:rsidRPr="000B394C" w:rsidRDefault="00E659A9" w:rsidP="001731FC">
            <w:pPr>
              <w:jc w:val="center"/>
              <w:rPr>
                <w:sz w:val="18"/>
                <w:szCs w:val="18"/>
              </w:rPr>
            </w:pPr>
            <w:r w:rsidRPr="000B394C">
              <w:rPr>
                <w:sz w:val="18"/>
                <w:szCs w:val="18"/>
              </w:rPr>
              <w:t>0,053</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0,008</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0,006</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ALL</w:t>
            </w:r>
          </w:p>
        </w:tc>
        <w:tc>
          <w:tcPr>
            <w:tcW w:w="522" w:type="pct"/>
          </w:tcPr>
          <w:p w:rsidR="00E659A9" w:rsidRPr="0051775B" w:rsidRDefault="00E659A9" w:rsidP="001731FC">
            <w:pPr>
              <w:jc w:val="center"/>
              <w:rPr>
                <w:sz w:val="18"/>
                <w:szCs w:val="18"/>
              </w:rPr>
            </w:pPr>
            <w:r>
              <w:rPr>
                <w:sz w:val="18"/>
                <w:szCs w:val="18"/>
              </w:rPr>
              <w:t>0,25</w:t>
            </w:r>
            <w:r w:rsidRPr="0051775B">
              <w:rPr>
                <w:rFonts w:cstheme="minorHAnsi"/>
                <w:sz w:val="18"/>
                <w:szCs w:val="18"/>
              </w:rPr>
              <w:t>±</w:t>
            </w:r>
            <w:r>
              <w:rPr>
                <w:rFonts w:cstheme="minorHAnsi"/>
                <w:sz w:val="18"/>
                <w:szCs w:val="18"/>
              </w:rPr>
              <w:t>0,43</w:t>
            </w:r>
          </w:p>
        </w:tc>
        <w:tc>
          <w:tcPr>
            <w:tcW w:w="523" w:type="pct"/>
          </w:tcPr>
          <w:p w:rsidR="00E659A9" w:rsidRPr="0051775B" w:rsidRDefault="00E659A9" w:rsidP="001731FC">
            <w:pPr>
              <w:jc w:val="center"/>
              <w:rPr>
                <w:sz w:val="18"/>
                <w:szCs w:val="18"/>
              </w:rPr>
            </w:pPr>
            <w:r>
              <w:rPr>
                <w:sz w:val="18"/>
                <w:szCs w:val="18"/>
              </w:rPr>
              <w:t>0,23</w:t>
            </w:r>
            <w:r w:rsidRPr="0051775B">
              <w:rPr>
                <w:rFonts w:cstheme="minorHAnsi"/>
                <w:sz w:val="18"/>
                <w:szCs w:val="18"/>
              </w:rPr>
              <w:t>±</w:t>
            </w:r>
            <w:r>
              <w:rPr>
                <w:rFonts w:cstheme="minorHAnsi"/>
                <w:sz w:val="18"/>
                <w:szCs w:val="18"/>
              </w:rPr>
              <w:t>0,49</w:t>
            </w:r>
          </w:p>
        </w:tc>
        <w:tc>
          <w:tcPr>
            <w:tcW w:w="597" w:type="pct"/>
          </w:tcPr>
          <w:p w:rsidR="00E659A9" w:rsidRPr="0051775B" w:rsidRDefault="00E659A9" w:rsidP="001731FC">
            <w:pPr>
              <w:jc w:val="center"/>
              <w:rPr>
                <w:sz w:val="18"/>
                <w:szCs w:val="18"/>
              </w:rPr>
            </w:pPr>
            <w:r>
              <w:rPr>
                <w:sz w:val="18"/>
                <w:szCs w:val="18"/>
              </w:rPr>
              <w:t>0,25</w:t>
            </w:r>
            <w:r w:rsidRPr="0051775B">
              <w:rPr>
                <w:rFonts w:cstheme="minorHAnsi"/>
                <w:sz w:val="18"/>
                <w:szCs w:val="18"/>
              </w:rPr>
              <w:t>±</w:t>
            </w:r>
            <w:r>
              <w:rPr>
                <w:rFonts w:cstheme="minorHAnsi"/>
                <w:sz w:val="18"/>
                <w:szCs w:val="18"/>
              </w:rPr>
              <w:t>0,47</w:t>
            </w:r>
          </w:p>
        </w:tc>
        <w:tc>
          <w:tcPr>
            <w:tcW w:w="597" w:type="pct"/>
          </w:tcPr>
          <w:p w:rsidR="00E659A9" w:rsidRPr="0051775B" w:rsidRDefault="00E659A9" w:rsidP="001731FC">
            <w:pPr>
              <w:jc w:val="center"/>
              <w:rPr>
                <w:sz w:val="18"/>
                <w:szCs w:val="18"/>
              </w:rPr>
            </w:pPr>
            <w:r>
              <w:rPr>
                <w:sz w:val="18"/>
                <w:szCs w:val="18"/>
              </w:rPr>
              <w:t>0,21</w:t>
            </w:r>
            <w:r w:rsidRPr="0051775B">
              <w:rPr>
                <w:rFonts w:cstheme="minorHAnsi"/>
                <w:sz w:val="18"/>
                <w:szCs w:val="18"/>
              </w:rPr>
              <w:t>±</w:t>
            </w:r>
            <w:r>
              <w:rPr>
                <w:rFonts w:cstheme="minorHAnsi"/>
                <w:sz w:val="18"/>
                <w:szCs w:val="18"/>
              </w:rPr>
              <w:t>0,44</w:t>
            </w:r>
          </w:p>
        </w:tc>
        <w:tc>
          <w:tcPr>
            <w:tcW w:w="597" w:type="pct"/>
          </w:tcPr>
          <w:p w:rsidR="00E659A9" w:rsidRPr="0051775B" w:rsidRDefault="00E659A9" w:rsidP="001731FC">
            <w:pPr>
              <w:jc w:val="center"/>
              <w:rPr>
                <w:sz w:val="18"/>
                <w:szCs w:val="18"/>
              </w:rPr>
            </w:pPr>
            <w:r>
              <w:rPr>
                <w:sz w:val="18"/>
                <w:szCs w:val="18"/>
              </w:rPr>
              <w:t>0,25</w:t>
            </w:r>
            <w:r w:rsidRPr="0051775B">
              <w:rPr>
                <w:rFonts w:cstheme="minorHAnsi"/>
                <w:sz w:val="18"/>
                <w:szCs w:val="18"/>
              </w:rPr>
              <w:t>±</w:t>
            </w:r>
            <w:r>
              <w:rPr>
                <w:rFonts w:cstheme="minorHAnsi"/>
                <w:sz w:val="18"/>
                <w:szCs w:val="18"/>
              </w:rPr>
              <w:t>0,10</w:t>
            </w:r>
          </w:p>
        </w:tc>
        <w:tc>
          <w:tcPr>
            <w:tcW w:w="597" w:type="pct"/>
          </w:tcPr>
          <w:p w:rsidR="00E659A9" w:rsidRPr="0051775B" w:rsidRDefault="00E659A9" w:rsidP="001731FC">
            <w:pPr>
              <w:jc w:val="center"/>
              <w:rPr>
                <w:sz w:val="18"/>
                <w:szCs w:val="18"/>
              </w:rPr>
            </w:pPr>
            <w:r>
              <w:rPr>
                <w:sz w:val="18"/>
                <w:szCs w:val="18"/>
              </w:rPr>
              <w:t>0,24</w:t>
            </w:r>
            <w:r w:rsidRPr="0051775B">
              <w:rPr>
                <w:rFonts w:cstheme="minorHAnsi"/>
                <w:sz w:val="18"/>
                <w:szCs w:val="18"/>
              </w:rPr>
              <w:t>±</w:t>
            </w:r>
            <w:r>
              <w:rPr>
                <w:rFonts w:cstheme="minorHAnsi"/>
                <w:sz w:val="18"/>
                <w:szCs w:val="18"/>
              </w:rPr>
              <w:t>0,48</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P=0,909</w:t>
            </w:r>
          </w:p>
        </w:tc>
        <w:tc>
          <w:tcPr>
            <w:tcW w:w="1195" w:type="pct"/>
            <w:gridSpan w:val="2"/>
          </w:tcPr>
          <w:p w:rsidR="00E659A9" w:rsidRPr="0051775B" w:rsidRDefault="00E659A9" w:rsidP="001731FC">
            <w:pPr>
              <w:jc w:val="center"/>
              <w:rPr>
                <w:sz w:val="18"/>
                <w:szCs w:val="18"/>
              </w:rPr>
            </w:pPr>
            <w:r>
              <w:rPr>
                <w:sz w:val="18"/>
                <w:szCs w:val="18"/>
              </w:rPr>
              <w:t>P=0,758</w:t>
            </w:r>
          </w:p>
        </w:tc>
        <w:tc>
          <w:tcPr>
            <w:tcW w:w="1195" w:type="pct"/>
            <w:gridSpan w:val="2"/>
          </w:tcPr>
          <w:p w:rsidR="00E659A9" w:rsidRPr="0051775B" w:rsidRDefault="00E659A9" w:rsidP="001731FC">
            <w:pPr>
              <w:jc w:val="center"/>
              <w:rPr>
                <w:sz w:val="18"/>
                <w:szCs w:val="18"/>
              </w:rPr>
            </w:pPr>
            <w:r>
              <w:rPr>
                <w:sz w:val="18"/>
                <w:szCs w:val="18"/>
              </w:rPr>
              <w:t>P=0,931</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IPSI</w:t>
            </w:r>
          </w:p>
        </w:tc>
        <w:tc>
          <w:tcPr>
            <w:tcW w:w="522" w:type="pct"/>
          </w:tcPr>
          <w:p w:rsidR="00E659A9" w:rsidRPr="0051775B" w:rsidRDefault="00E659A9" w:rsidP="001731FC">
            <w:pPr>
              <w:jc w:val="center"/>
              <w:rPr>
                <w:sz w:val="18"/>
                <w:szCs w:val="18"/>
              </w:rPr>
            </w:pPr>
            <w:r>
              <w:rPr>
                <w:sz w:val="18"/>
                <w:szCs w:val="18"/>
              </w:rPr>
              <w:t>0,21</w:t>
            </w:r>
            <w:r w:rsidRPr="0051775B">
              <w:rPr>
                <w:rFonts w:cstheme="minorHAnsi"/>
                <w:sz w:val="18"/>
                <w:szCs w:val="18"/>
              </w:rPr>
              <w:t>±</w:t>
            </w:r>
            <w:r>
              <w:rPr>
                <w:sz w:val="18"/>
                <w:szCs w:val="18"/>
              </w:rPr>
              <w:t>0,59</w:t>
            </w:r>
          </w:p>
        </w:tc>
        <w:tc>
          <w:tcPr>
            <w:tcW w:w="523" w:type="pct"/>
          </w:tcPr>
          <w:p w:rsidR="00E659A9" w:rsidRPr="0051775B" w:rsidRDefault="00E659A9" w:rsidP="001731FC">
            <w:pPr>
              <w:jc w:val="center"/>
              <w:rPr>
                <w:sz w:val="18"/>
                <w:szCs w:val="18"/>
              </w:rPr>
            </w:pPr>
            <w:r>
              <w:rPr>
                <w:sz w:val="18"/>
                <w:szCs w:val="18"/>
              </w:rPr>
              <w:t>0,15</w:t>
            </w:r>
            <w:r w:rsidRPr="0051775B">
              <w:rPr>
                <w:rFonts w:cstheme="minorHAnsi"/>
                <w:sz w:val="18"/>
                <w:szCs w:val="18"/>
              </w:rPr>
              <w:t>±</w:t>
            </w:r>
            <w:r>
              <w:rPr>
                <w:rFonts w:cstheme="minorHAnsi"/>
                <w:sz w:val="18"/>
                <w:szCs w:val="18"/>
              </w:rPr>
              <w:t>0,51</w:t>
            </w:r>
          </w:p>
        </w:tc>
        <w:tc>
          <w:tcPr>
            <w:tcW w:w="597" w:type="pct"/>
          </w:tcPr>
          <w:p w:rsidR="00E659A9" w:rsidRPr="0051775B" w:rsidRDefault="00E659A9" w:rsidP="001731FC">
            <w:pPr>
              <w:jc w:val="center"/>
              <w:rPr>
                <w:sz w:val="18"/>
                <w:szCs w:val="18"/>
              </w:rPr>
            </w:pPr>
            <w:r>
              <w:rPr>
                <w:sz w:val="18"/>
                <w:szCs w:val="18"/>
              </w:rPr>
              <w:t>0,14</w:t>
            </w:r>
            <w:r w:rsidRPr="0051775B">
              <w:rPr>
                <w:rFonts w:cstheme="minorHAnsi"/>
                <w:sz w:val="18"/>
                <w:szCs w:val="18"/>
              </w:rPr>
              <w:t>±</w:t>
            </w:r>
            <w:r>
              <w:rPr>
                <w:sz w:val="18"/>
                <w:szCs w:val="18"/>
              </w:rPr>
              <w:t>0,49</w:t>
            </w:r>
          </w:p>
        </w:tc>
        <w:tc>
          <w:tcPr>
            <w:tcW w:w="597" w:type="pct"/>
          </w:tcPr>
          <w:p w:rsidR="00E659A9" w:rsidRPr="0051775B" w:rsidRDefault="00E659A9" w:rsidP="001731FC">
            <w:pPr>
              <w:jc w:val="center"/>
              <w:rPr>
                <w:sz w:val="18"/>
                <w:szCs w:val="18"/>
              </w:rPr>
            </w:pPr>
            <w:r>
              <w:rPr>
                <w:sz w:val="18"/>
                <w:szCs w:val="18"/>
              </w:rPr>
              <w:t>0,25</w:t>
            </w:r>
            <w:r w:rsidRPr="0051775B">
              <w:rPr>
                <w:rFonts w:cstheme="minorHAnsi"/>
                <w:sz w:val="18"/>
                <w:szCs w:val="18"/>
              </w:rPr>
              <w:t>±</w:t>
            </w:r>
            <w:r>
              <w:rPr>
                <w:rFonts w:cstheme="minorHAnsi"/>
                <w:sz w:val="18"/>
                <w:szCs w:val="18"/>
              </w:rPr>
              <w:t>0,63</w:t>
            </w:r>
          </w:p>
        </w:tc>
        <w:tc>
          <w:tcPr>
            <w:tcW w:w="597" w:type="pct"/>
          </w:tcPr>
          <w:p w:rsidR="00E659A9" w:rsidRPr="0051775B" w:rsidRDefault="00E659A9" w:rsidP="001731FC">
            <w:pPr>
              <w:jc w:val="center"/>
              <w:rPr>
                <w:sz w:val="18"/>
                <w:szCs w:val="18"/>
              </w:rPr>
            </w:pPr>
            <w:r>
              <w:rPr>
                <w:sz w:val="18"/>
                <w:szCs w:val="18"/>
              </w:rPr>
              <w:t>0,12</w:t>
            </w:r>
            <w:r w:rsidRPr="0051775B">
              <w:rPr>
                <w:rFonts w:cstheme="minorHAnsi"/>
                <w:sz w:val="18"/>
                <w:szCs w:val="18"/>
              </w:rPr>
              <w:t>±</w:t>
            </w:r>
            <w:r>
              <w:rPr>
                <w:rFonts w:cstheme="minorHAnsi"/>
                <w:sz w:val="18"/>
                <w:szCs w:val="18"/>
              </w:rPr>
              <w:t>0,53</w:t>
            </w:r>
          </w:p>
        </w:tc>
        <w:tc>
          <w:tcPr>
            <w:tcW w:w="597" w:type="pct"/>
          </w:tcPr>
          <w:p w:rsidR="00E659A9" w:rsidRPr="0051775B" w:rsidRDefault="00E659A9" w:rsidP="001731FC">
            <w:pPr>
              <w:jc w:val="center"/>
              <w:rPr>
                <w:sz w:val="18"/>
                <w:szCs w:val="18"/>
              </w:rPr>
            </w:pPr>
            <w:r>
              <w:rPr>
                <w:sz w:val="18"/>
                <w:szCs w:val="18"/>
              </w:rPr>
              <w:t>0,20</w:t>
            </w:r>
            <w:r w:rsidRPr="0051775B">
              <w:rPr>
                <w:rFonts w:cstheme="minorHAnsi"/>
                <w:sz w:val="18"/>
                <w:szCs w:val="18"/>
              </w:rPr>
              <w:t>±</w:t>
            </w:r>
            <w:r>
              <w:rPr>
                <w:rFonts w:cstheme="minorHAnsi"/>
                <w:sz w:val="18"/>
                <w:szCs w:val="18"/>
              </w:rPr>
              <w:t>0,55</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P=0,726</w:t>
            </w:r>
          </w:p>
        </w:tc>
        <w:tc>
          <w:tcPr>
            <w:tcW w:w="1195" w:type="pct"/>
            <w:gridSpan w:val="2"/>
          </w:tcPr>
          <w:p w:rsidR="00E659A9" w:rsidRPr="0051775B" w:rsidRDefault="00E659A9" w:rsidP="001731FC">
            <w:pPr>
              <w:jc w:val="center"/>
              <w:rPr>
                <w:sz w:val="18"/>
                <w:szCs w:val="18"/>
              </w:rPr>
            </w:pPr>
            <w:r>
              <w:rPr>
                <w:sz w:val="18"/>
                <w:szCs w:val="18"/>
              </w:rPr>
              <w:t>P=0,537</w:t>
            </w:r>
          </w:p>
        </w:tc>
        <w:tc>
          <w:tcPr>
            <w:tcW w:w="1195" w:type="pct"/>
            <w:gridSpan w:val="2"/>
          </w:tcPr>
          <w:p w:rsidR="00E659A9" w:rsidRPr="0051775B" w:rsidRDefault="00E659A9" w:rsidP="001731FC">
            <w:pPr>
              <w:jc w:val="center"/>
              <w:rPr>
                <w:sz w:val="18"/>
                <w:szCs w:val="18"/>
              </w:rPr>
            </w:pPr>
            <w:r>
              <w:rPr>
                <w:sz w:val="18"/>
                <w:szCs w:val="18"/>
              </w:rPr>
              <w:t>P=0,609</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KONTR</w:t>
            </w:r>
          </w:p>
        </w:tc>
        <w:tc>
          <w:tcPr>
            <w:tcW w:w="522" w:type="pct"/>
          </w:tcPr>
          <w:p w:rsidR="00E659A9" w:rsidRPr="0051775B" w:rsidRDefault="00E659A9" w:rsidP="001731FC">
            <w:pPr>
              <w:jc w:val="center"/>
              <w:rPr>
                <w:sz w:val="18"/>
                <w:szCs w:val="18"/>
              </w:rPr>
            </w:pPr>
            <w:r>
              <w:rPr>
                <w:sz w:val="18"/>
                <w:szCs w:val="18"/>
              </w:rPr>
              <w:t>0,25</w:t>
            </w:r>
            <w:r w:rsidRPr="0051775B">
              <w:rPr>
                <w:rFonts w:cstheme="minorHAnsi"/>
                <w:sz w:val="18"/>
                <w:szCs w:val="18"/>
              </w:rPr>
              <w:t>±</w:t>
            </w:r>
            <w:r>
              <w:rPr>
                <w:rFonts w:cstheme="minorHAnsi"/>
                <w:sz w:val="18"/>
                <w:szCs w:val="18"/>
              </w:rPr>
              <w:t>0,45</w:t>
            </w:r>
          </w:p>
        </w:tc>
        <w:tc>
          <w:tcPr>
            <w:tcW w:w="523" w:type="pct"/>
          </w:tcPr>
          <w:p w:rsidR="00E659A9" w:rsidRPr="0051775B" w:rsidRDefault="00E659A9" w:rsidP="001731FC">
            <w:pPr>
              <w:jc w:val="center"/>
              <w:rPr>
                <w:sz w:val="18"/>
                <w:szCs w:val="18"/>
              </w:rPr>
            </w:pPr>
            <w:r>
              <w:rPr>
                <w:sz w:val="18"/>
                <w:szCs w:val="18"/>
              </w:rPr>
              <w:t>0,24</w:t>
            </w:r>
            <w:r w:rsidRPr="0051775B">
              <w:rPr>
                <w:rFonts w:cstheme="minorHAnsi"/>
                <w:sz w:val="18"/>
                <w:szCs w:val="18"/>
              </w:rPr>
              <w:t>±</w:t>
            </w:r>
            <w:r>
              <w:rPr>
                <w:rFonts w:cstheme="minorHAnsi"/>
                <w:sz w:val="18"/>
                <w:szCs w:val="18"/>
              </w:rPr>
              <w:t>0,55</w:t>
            </w:r>
          </w:p>
        </w:tc>
        <w:tc>
          <w:tcPr>
            <w:tcW w:w="597" w:type="pct"/>
          </w:tcPr>
          <w:p w:rsidR="00E659A9" w:rsidRPr="0051775B" w:rsidRDefault="00E659A9" w:rsidP="001731FC">
            <w:pPr>
              <w:jc w:val="center"/>
              <w:rPr>
                <w:sz w:val="18"/>
                <w:szCs w:val="18"/>
              </w:rPr>
            </w:pPr>
            <w:r>
              <w:rPr>
                <w:sz w:val="18"/>
                <w:szCs w:val="18"/>
              </w:rPr>
              <w:t>0,28</w:t>
            </w:r>
            <w:r w:rsidRPr="0051775B">
              <w:rPr>
                <w:rFonts w:cstheme="minorHAnsi"/>
                <w:sz w:val="18"/>
                <w:szCs w:val="18"/>
              </w:rPr>
              <w:t>±</w:t>
            </w:r>
            <w:r>
              <w:rPr>
                <w:rFonts w:cstheme="minorHAnsi"/>
                <w:sz w:val="18"/>
                <w:szCs w:val="18"/>
              </w:rPr>
              <w:t>0,55</w:t>
            </w:r>
          </w:p>
        </w:tc>
        <w:tc>
          <w:tcPr>
            <w:tcW w:w="597" w:type="pct"/>
          </w:tcPr>
          <w:p w:rsidR="00E659A9" w:rsidRPr="0051775B" w:rsidRDefault="00E659A9" w:rsidP="001731FC">
            <w:pPr>
              <w:jc w:val="center"/>
              <w:rPr>
                <w:sz w:val="18"/>
                <w:szCs w:val="18"/>
              </w:rPr>
            </w:pPr>
            <w:r>
              <w:rPr>
                <w:sz w:val="18"/>
                <w:szCs w:val="18"/>
              </w:rPr>
              <w:t>0,18</w:t>
            </w:r>
            <w:r w:rsidRPr="0051775B">
              <w:rPr>
                <w:rFonts w:cstheme="minorHAnsi"/>
                <w:sz w:val="18"/>
                <w:szCs w:val="18"/>
              </w:rPr>
              <w:t>±</w:t>
            </w:r>
            <w:r>
              <w:rPr>
                <w:rFonts w:cstheme="minorHAnsi"/>
                <w:sz w:val="18"/>
                <w:szCs w:val="18"/>
              </w:rPr>
              <w:t>0,37</w:t>
            </w:r>
          </w:p>
        </w:tc>
        <w:tc>
          <w:tcPr>
            <w:tcW w:w="597" w:type="pct"/>
          </w:tcPr>
          <w:p w:rsidR="00E659A9" w:rsidRPr="0051775B" w:rsidRDefault="00E659A9" w:rsidP="001731FC">
            <w:pPr>
              <w:jc w:val="center"/>
              <w:rPr>
                <w:sz w:val="18"/>
                <w:szCs w:val="18"/>
              </w:rPr>
            </w:pPr>
            <w:r>
              <w:rPr>
                <w:sz w:val="18"/>
                <w:szCs w:val="18"/>
              </w:rPr>
              <w:t>0,30</w:t>
            </w:r>
            <w:r w:rsidRPr="0051775B">
              <w:rPr>
                <w:rFonts w:cstheme="minorHAnsi"/>
                <w:sz w:val="18"/>
                <w:szCs w:val="18"/>
              </w:rPr>
              <w:t>±</w:t>
            </w:r>
            <w:r>
              <w:rPr>
                <w:rFonts w:cstheme="minorHAnsi"/>
                <w:sz w:val="18"/>
                <w:szCs w:val="18"/>
              </w:rPr>
              <w:t>0,47</w:t>
            </w:r>
          </w:p>
        </w:tc>
        <w:tc>
          <w:tcPr>
            <w:tcW w:w="597" w:type="pct"/>
          </w:tcPr>
          <w:p w:rsidR="00E659A9" w:rsidRPr="0051775B" w:rsidRDefault="00E659A9" w:rsidP="001731FC">
            <w:pPr>
              <w:jc w:val="center"/>
              <w:rPr>
                <w:sz w:val="18"/>
                <w:szCs w:val="18"/>
              </w:rPr>
            </w:pPr>
            <w:r>
              <w:rPr>
                <w:sz w:val="18"/>
                <w:szCs w:val="18"/>
              </w:rPr>
              <w:t>0,21</w:t>
            </w:r>
            <w:r w:rsidRPr="0051775B">
              <w:rPr>
                <w:rFonts w:cstheme="minorHAnsi"/>
                <w:sz w:val="18"/>
                <w:szCs w:val="18"/>
              </w:rPr>
              <w:t>±</w:t>
            </w:r>
            <w:r>
              <w:rPr>
                <w:rFonts w:cstheme="minorHAnsi"/>
                <w:sz w:val="18"/>
                <w:szCs w:val="18"/>
              </w:rPr>
              <w:t>0,51</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p=0,960</w:t>
            </w:r>
          </w:p>
        </w:tc>
        <w:tc>
          <w:tcPr>
            <w:tcW w:w="1195" w:type="pct"/>
            <w:gridSpan w:val="2"/>
          </w:tcPr>
          <w:p w:rsidR="00E659A9" w:rsidRPr="0051775B" w:rsidRDefault="00E659A9" w:rsidP="001731FC">
            <w:pPr>
              <w:jc w:val="center"/>
              <w:rPr>
                <w:sz w:val="18"/>
                <w:szCs w:val="18"/>
              </w:rPr>
            </w:pPr>
            <w:r>
              <w:rPr>
                <w:sz w:val="18"/>
                <w:szCs w:val="18"/>
              </w:rPr>
              <w:t>P=0,439</w:t>
            </w:r>
          </w:p>
        </w:tc>
        <w:tc>
          <w:tcPr>
            <w:tcW w:w="1195" w:type="pct"/>
            <w:gridSpan w:val="2"/>
          </w:tcPr>
          <w:p w:rsidR="00E659A9" w:rsidRPr="0051775B" w:rsidRDefault="00E659A9" w:rsidP="001731FC">
            <w:pPr>
              <w:jc w:val="center"/>
              <w:rPr>
                <w:sz w:val="18"/>
                <w:szCs w:val="18"/>
              </w:rPr>
            </w:pPr>
            <w:r>
              <w:rPr>
                <w:sz w:val="18"/>
                <w:szCs w:val="18"/>
              </w:rPr>
              <w:t>P=0,142</w:t>
            </w:r>
          </w:p>
        </w:tc>
      </w:tr>
      <w:tr w:rsidR="00E659A9" w:rsidRPr="00833EE8" w:rsidTr="00DF11CD">
        <w:tc>
          <w:tcPr>
            <w:tcW w:w="5000" w:type="pct"/>
            <w:gridSpan w:val="7"/>
            <w:shd w:val="clear" w:color="auto" w:fill="000000" w:themeFill="text1"/>
          </w:tcPr>
          <w:p w:rsidR="00E659A9" w:rsidRPr="00833EE8" w:rsidRDefault="00E659A9" w:rsidP="001731FC">
            <w:pPr>
              <w:jc w:val="center"/>
              <w:rPr>
                <w:rFonts w:cstheme="minorHAnsi"/>
                <w:b/>
                <w:color w:val="FFFFFF" w:themeColor="background1"/>
                <w:sz w:val="18"/>
                <w:szCs w:val="18"/>
                <w:highlight w:val="yellow"/>
              </w:rPr>
            </w:pPr>
            <w:r>
              <w:rPr>
                <w:b/>
                <w:color w:val="FFFFFF" w:themeColor="background1"/>
                <w:sz w:val="18"/>
                <w:szCs w:val="18"/>
              </w:rPr>
              <w:t>M</w:t>
            </w:r>
            <w:r w:rsidRPr="00833EE8">
              <w:rPr>
                <w:b/>
                <w:color w:val="FFFFFF" w:themeColor="background1"/>
                <w:sz w:val="18"/>
                <w:szCs w:val="18"/>
              </w:rPr>
              <w:t>CA</w:t>
            </w:r>
          </w:p>
        </w:tc>
      </w:tr>
      <w:tr w:rsidR="00E659A9" w:rsidRPr="0051775B" w:rsidTr="00DF11CD">
        <w:tc>
          <w:tcPr>
            <w:tcW w:w="1565" w:type="pct"/>
          </w:tcPr>
          <w:p w:rsidR="00E659A9" w:rsidRPr="0051775B" w:rsidRDefault="00E659A9" w:rsidP="001731FC">
            <w:pPr>
              <w:rPr>
                <w:sz w:val="18"/>
                <w:szCs w:val="18"/>
              </w:rPr>
            </w:pPr>
            <w:r w:rsidRPr="0051775B">
              <w:rPr>
                <w:sz w:val="18"/>
                <w:szCs w:val="18"/>
              </w:rPr>
              <w:t xml:space="preserve">PRE-BUBBLE BHI </w:t>
            </w:r>
            <w:r w:rsidRPr="0051775B">
              <w:rPr>
                <w:b/>
                <w:sz w:val="18"/>
                <w:szCs w:val="18"/>
              </w:rPr>
              <w:t xml:space="preserve">MCA </w:t>
            </w:r>
            <w:r w:rsidRPr="0051775B">
              <w:rPr>
                <w:sz w:val="18"/>
                <w:szCs w:val="18"/>
              </w:rPr>
              <w:t>all</w:t>
            </w:r>
          </w:p>
        </w:tc>
        <w:tc>
          <w:tcPr>
            <w:tcW w:w="522" w:type="pct"/>
          </w:tcPr>
          <w:p w:rsidR="00E659A9" w:rsidRPr="0051775B" w:rsidRDefault="00E659A9" w:rsidP="001731FC">
            <w:pPr>
              <w:jc w:val="center"/>
              <w:rPr>
                <w:sz w:val="18"/>
                <w:szCs w:val="18"/>
              </w:rPr>
            </w:pPr>
            <w:r w:rsidRPr="0051775B">
              <w:rPr>
                <w:sz w:val="18"/>
                <w:szCs w:val="18"/>
              </w:rPr>
              <w:t>1,03</w:t>
            </w:r>
            <w:r w:rsidRPr="0051775B">
              <w:rPr>
                <w:rFonts w:cstheme="minorHAnsi"/>
                <w:sz w:val="18"/>
                <w:szCs w:val="18"/>
              </w:rPr>
              <w:t>±0,61</w:t>
            </w:r>
          </w:p>
        </w:tc>
        <w:tc>
          <w:tcPr>
            <w:tcW w:w="523" w:type="pct"/>
          </w:tcPr>
          <w:p w:rsidR="00E659A9" w:rsidRPr="0051775B" w:rsidRDefault="00E659A9" w:rsidP="001731FC">
            <w:pPr>
              <w:jc w:val="center"/>
              <w:rPr>
                <w:sz w:val="18"/>
                <w:szCs w:val="18"/>
              </w:rPr>
            </w:pPr>
            <w:r w:rsidRPr="0051775B">
              <w:rPr>
                <w:sz w:val="18"/>
                <w:szCs w:val="18"/>
              </w:rPr>
              <w:t>1,24</w:t>
            </w:r>
            <w:r w:rsidRPr="0051775B">
              <w:rPr>
                <w:rFonts w:cstheme="minorHAnsi"/>
                <w:sz w:val="18"/>
                <w:szCs w:val="18"/>
              </w:rPr>
              <w:t>±0,44</w:t>
            </w:r>
          </w:p>
        </w:tc>
        <w:tc>
          <w:tcPr>
            <w:tcW w:w="597" w:type="pct"/>
          </w:tcPr>
          <w:p w:rsidR="00E659A9" w:rsidRPr="0051775B" w:rsidRDefault="00E659A9" w:rsidP="001731FC">
            <w:pPr>
              <w:jc w:val="center"/>
              <w:rPr>
                <w:sz w:val="18"/>
                <w:szCs w:val="18"/>
              </w:rPr>
            </w:pPr>
            <w:r w:rsidRPr="0051775B">
              <w:rPr>
                <w:rFonts w:cstheme="minorHAnsi"/>
                <w:sz w:val="18"/>
                <w:szCs w:val="18"/>
              </w:rPr>
              <w:t>1,24±0,57</w:t>
            </w:r>
          </w:p>
        </w:tc>
        <w:tc>
          <w:tcPr>
            <w:tcW w:w="597" w:type="pct"/>
          </w:tcPr>
          <w:p w:rsidR="00E659A9" w:rsidRPr="0051775B" w:rsidRDefault="00E659A9" w:rsidP="001731FC">
            <w:pPr>
              <w:jc w:val="center"/>
              <w:rPr>
                <w:sz w:val="18"/>
                <w:szCs w:val="18"/>
              </w:rPr>
            </w:pPr>
            <w:r w:rsidRPr="0051775B">
              <w:rPr>
                <w:rFonts w:cstheme="minorHAnsi"/>
                <w:sz w:val="18"/>
                <w:szCs w:val="18"/>
              </w:rPr>
              <w:t>0,93±0,38</w:t>
            </w:r>
          </w:p>
        </w:tc>
        <w:tc>
          <w:tcPr>
            <w:tcW w:w="597" w:type="pct"/>
          </w:tcPr>
          <w:p w:rsidR="00E659A9" w:rsidRPr="0051775B" w:rsidRDefault="00E659A9" w:rsidP="001731FC">
            <w:pPr>
              <w:jc w:val="center"/>
              <w:rPr>
                <w:sz w:val="18"/>
                <w:szCs w:val="18"/>
              </w:rPr>
            </w:pPr>
            <w:r w:rsidRPr="0051775B">
              <w:rPr>
                <w:rFonts w:cstheme="minorHAnsi"/>
                <w:sz w:val="18"/>
                <w:szCs w:val="18"/>
              </w:rPr>
              <w:t>1,04±0.67</w:t>
            </w:r>
          </w:p>
        </w:tc>
        <w:tc>
          <w:tcPr>
            <w:tcW w:w="597" w:type="pct"/>
          </w:tcPr>
          <w:p w:rsidR="00E659A9" w:rsidRPr="0051775B" w:rsidRDefault="00E659A9" w:rsidP="001731FC">
            <w:pPr>
              <w:jc w:val="center"/>
              <w:rPr>
                <w:sz w:val="18"/>
                <w:szCs w:val="18"/>
              </w:rPr>
            </w:pPr>
            <w:r w:rsidRPr="0051775B">
              <w:rPr>
                <w:rFonts w:cstheme="minorHAnsi"/>
                <w:sz w:val="18"/>
                <w:szCs w:val="18"/>
              </w:rPr>
              <w:t>1,19±0,45</w:t>
            </w:r>
          </w:p>
        </w:tc>
      </w:tr>
      <w:tr w:rsidR="00E659A9" w:rsidRPr="0051775B" w:rsidTr="00DF11CD">
        <w:tc>
          <w:tcPr>
            <w:tcW w:w="1565" w:type="pct"/>
          </w:tcPr>
          <w:p w:rsidR="00E659A9" w:rsidRPr="0051775B" w:rsidRDefault="00E659A9" w:rsidP="001731FC">
            <w:pPr>
              <w:rPr>
                <w:sz w:val="18"/>
                <w:szCs w:val="18"/>
              </w:rPr>
            </w:pPr>
            <w:r w:rsidRPr="0051775B">
              <w:rPr>
                <w:sz w:val="18"/>
                <w:szCs w:val="18"/>
              </w:rPr>
              <w:t>POST-BUBBLE BHI MCA all</w:t>
            </w:r>
          </w:p>
        </w:tc>
        <w:tc>
          <w:tcPr>
            <w:tcW w:w="522" w:type="pct"/>
          </w:tcPr>
          <w:p w:rsidR="00E659A9" w:rsidRPr="0051775B" w:rsidRDefault="00E659A9" w:rsidP="001731FC">
            <w:pPr>
              <w:jc w:val="center"/>
              <w:rPr>
                <w:sz w:val="18"/>
                <w:szCs w:val="18"/>
              </w:rPr>
            </w:pPr>
            <w:r w:rsidRPr="0051775B">
              <w:rPr>
                <w:sz w:val="18"/>
                <w:szCs w:val="18"/>
              </w:rPr>
              <w:t>0,96</w:t>
            </w:r>
            <w:r w:rsidRPr="0051775B">
              <w:rPr>
                <w:rFonts w:cstheme="minorHAnsi"/>
                <w:sz w:val="18"/>
                <w:szCs w:val="18"/>
              </w:rPr>
              <w:t>±0,54</w:t>
            </w:r>
          </w:p>
        </w:tc>
        <w:tc>
          <w:tcPr>
            <w:tcW w:w="523" w:type="pct"/>
          </w:tcPr>
          <w:p w:rsidR="00E659A9" w:rsidRPr="0051775B" w:rsidRDefault="00E659A9" w:rsidP="001731FC">
            <w:pPr>
              <w:jc w:val="center"/>
              <w:rPr>
                <w:sz w:val="18"/>
                <w:szCs w:val="18"/>
              </w:rPr>
            </w:pPr>
            <w:r w:rsidRPr="0051775B">
              <w:rPr>
                <w:sz w:val="18"/>
                <w:szCs w:val="18"/>
              </w:rPr>
              <w:t>1,21</w:t>
            </w:r>
            <w:r w:rsidRPr="0051775B">
              <w:rPr>
                <w:rFonts w:cstheme="minorHAnsi"/>
                <w:sz w:val="18"/>
                <w:szCs w:val="18"/>
              </w:rPr>
              <w:t>±0,50</w:t>
            </w:r>
          </w:p>
        </w:tc>
        <w:tc>
          <w:tcPr>
            <w:tcW w:w="597" w:type="pct"/>
          </w:tcPr>
          <w:p w:rsidR="00E659A9" w:rsidRPr="0051775B" w:rsidRDefault="00E659A9" w:rsidP="001731FC">
            <w:pPr>
              <w:jc w:val="center"/>
              <w:rPr>
                <w:sz w:val="18"/>
                <w:szCs w:val="18"/>
              </w:rPr>
            </w:pPr>
            <w:r w:rsidRPr="0051775B">
              <w:rPr>
                <w:rFonts w:cstheme="minorHAnsi"/>
                <w:sz w:val="18"/>
                <w:szCs w:val="18"/>
              </w:rPr>
              <w:t>1,17±0,59</w:t>
            </w:r>
          </w:p>
        </w:tc>
        <w:tc>
          <w:tcPr>
            <w:tcW w:w="597" w:type="pct"/>
          </w:tcPr>
          <w:p w:rsidR="00E659A9" w:rsidRPr="0051775B" w:rsidRDefault="00E659A9" w:rsidP="001731FC">
            <w:pPr>
              <w:jc w:val="center"/>
              <w:rPr>
                <w:sz w:val="18"/>
                <w:szCs w:val="18"/>
              </w:rPr>
            </w:pPr>
            <w:r w:rsidRPr="0051775B">
              <w:rPr>
                <w:rFonts w:cstheme="minorHAnsi"/>
                <w:sz w:val="18"/>
                <w:szCs w:val="18"/>
              </w:rPr>
              <w:t>0,93±0,32</w:t>
            </w:r>
          </w:p>
        </w:tc>
        <w:tc>
          <w:tcPr>
            <w:tcW w:w="597" w:type="pct"/>
          </w:tcPr>
          <w:p w:rsidR="00E659A9" w:rsidRPr="0051775B" w:rsidRDefault="00E659A9" w:rsidP="001731FC">
            <w:pPr>
              <w:jc w:val="center"/>
              <w:rPr>
                <w:sz w:val="18"/>
                <w:szCs w:val="18"/>
              </w:rPr>
            </w:pPr>
            <w:r w:rsidRPr="0051775B">
              <w:rPr>
                <w:rFonts w:cstheme="minorHAnsi"/>
                <w:sz w:val="18"/>
                <w:szCs w:val="18"/>
              </w:rPr>
              <w:t>0.97±0.59</w:t>
            </w:r>
          </w:p>
        </w:tc>
        <w:tc>
          <w:tcPr>
            <w:tcW w:w="597" w:type="pct"/>
          </w:tcPr>
          <w:p w:rsidR="00E659A9" w:rsidRPr="0051775B" w:rsidRDefault="00E659A9" w:rsidP="001731FC">
            <w:pPr>
              <w:jc w:val="center"/>
              <w:rPr>
                <w:sz w:val="18"/>
                <w:szCs w:val="18"/>
              </w:rPr>
            </w:pPr>
            <w:r w:rsidRPr="0051775B">
              <w:rPr>
                <w:rFonts w:cstheme="minorHAnsi"/>
                <w:sz w:val="18"/>
                <w:szCs w:val="18"/>
              </w:rPr>
              <w:t>1,15±0.49</w:t>
            </w:r>
          </w:p>
        </w:tc>
      </w:tr>
      <w:tr w:rsidR="00E659A9" w:rsidRPr="0051775B" w:rsidTr="00DF11CD">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0,223</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0.627</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0,151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0,993</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0,361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0,408</w:t>
            </w:r>
          </w:p>
        </w:tc>
      </w:tr>
      <w:tr w:rsidR="00E659A9" w:rsidRPr="0051775B" w:rsidTr="00DF11CD">
        <w:tc>
          <w:tcPr>
            <w:tcW w:w="1565" w:type="pct"/>
          </w:tcPr>
          <w:p w:rsidR="00E659A9" w:rsidRPr="0051775B" w:rsidRDefault="00E659A9" w:rsidP="001731FC">
            <w:pPr>
              <w:rPr>
                <w:sz w:val="18"/>
                <w:szCs w:val="18"/>
              </w:rPr>
            </w:pPr>
            <w:r w:rsidRPr="0051775B">
              <w:rPr>
                <w:sz w:val="18"/>
                <w:szCs w:val="18"/>
              </w:rPr>
              <w:t>PRE-BUBBLE BHI MCA ipsilateral</w:t>
            </w:r>
          </w:p>
        </w:tc>
        <w:tc>
          <w:tcPr>
            <w:tcW w:w="522" w:type="pct"/>
          </w:tcPr>
          <w:p w:rsidR="00E659A9" w:rsidRPr="0051775B" w:rsidRDefault="00E659A9" w:rsidP="001731FC">
            <w:pPr>
              <w:jc w:val="center"/>
              <w:rPr>
                <w:sz w:val="18"/>
                <w:szCs w:val="18"/>
              </w:rPr>
            </w:pPr>
            <w:r w:rsidRPr="0051775B">
              <w:rPr>
                <w:sz w:val="18"/>
                <w:szCs w:val="18"/>
              </w:rPr>
              <w:t>1,00</w:t>
            </w:r>
            <w:r w:rsidRPr="0051775B">
              <w:rPr>
                <w:rFonts w:cstheme="minorHAnsi"/>
                <w:sz w:val="18"/>
                <w:szCs w:val="18"/>
              </w:rPr>
              <w:t>±0,63</w:t>
            </w:r>
          </w:p>
        </w:tc>
        <w:tc>
          <w:tcPr>
            <w:tcW w:w="523" w:type="pct"/>
          </w:tcPr>
          <w:p w:rsidR="00E659A9" w:rsidRPr="0051775B" w:rsidRDefault="00E659A9" w:rsidP="001731FC">
            <w:pPr>
              <w:jc w:val="center"/>
              <w:rPr>
                <w:sz w:val="18"/>
                <w:szCs w:val="18"/>
              </w:rPr>
            </w:pPr>
            <w:r w:rsidRPr="0051775B">
              <w:rPr>
                <w:sz w:val="18"/>
                <w:szCs w:val="18"/>
              </w:rPr>
              <w:t>1,19</w:t>
            </w:r>
            <w:r w:rsidRPr="0051775B">
              <w:rPr>
                <w:rFonts w:cstheme="minorHAnsi"/>
                <w:sz w:val="18"/>
                <w:szCs w:val="18"/>
              </w:rPr>
              <w:t>±0,47</w:t>
            </w:r>
          </w:p>
        </w:tc>
        <w:tc>
          <w:tcPr>
            <w:tcW w:w="597" w:type="pct"/>
          </w:tcPr>
          <w:p w:rsidR="00E659A9" w:rsidRPr="0051775B" w:rsidRDefault="00E659A9" w:rsidP="001731FC">
            <w:pPr>
              <w:jc w:val="center"/>
              <w:rPr>
                <w:sz w:val="18"/>
                <w:szCs w:val="18"/>
              </w:rPr>
            </w:pPr>
            <w:r w:rsidRPr="0051775B">
              <w:rPr>
                <w:rFonts w:cstheme="minorHAnsi"/>
                <w:sz w:val="18"/>
                <w:szCs w:val="18"/>
              </w:rPr>
              <w:t>1,23±0,60</w:t>
            </w:r>
          </w:p>
        </w:tc>
        <w:tc>
          <w:tcPr>
            <w:tcW w:w="597" w:type="pct"/>
          </w:tcPr>
          <w:p w:rsidR="00E659A9" w:rsidRPr="0051775B" w:rsidRDefault="00E659A9" w:rsidP="001731FC">
            <w:pPr>
              <w:jc w:val="center"/>
              <w:rPr>
                <w:sz w:val="18"/>
                <w:szCs w:val="18"/>
              </w:rPr>
            </w:pPr>
            <w:r w:rsidRPr="0051775B">
              <w:rPr>
                <w:rFonts w:cstheme="minorHAnsi"/>
                <w:sz w:val="18"/>
                <w:szCs w:val="18"/>
              </w:rPr>
              <w:t>0,83±0,30</w:t>
            </w:r>
          </w:p>
        </w:tc>
        <w:tc>
          <w:tcPr>
            <w:tcW w:w="597" w:type="pct"/>
          </w:tcPr>
          <w:p w:rsidR="00E659A9" w:rsidRPr="0051775B" w:rsidRDefault="00E659A9" w:rsidP="001731FC">
            <w:pPr>
              <w:jc w:val="center"/>
              <w:rPr>
                <w:sz w:val="18"/>
                <w:szCs w:val="18"/>
              </w:rPr>
            </w:pPr>
            <w:r w:rsidRPr="0051775B">
              <w:rPr>
                <w:rFonts w:cstheme="minorHAnsi"/>
                <w:sz w:val="18"/>
                <w:szCs w:val="18"/>
              </w:rPr>
              <w:t>1,03±0.72</w:t>
            </w:r>
          </w:p>
        </w:tc>
        <w:tc>
          <w:tcPr>
            <w:tcW w:w="597" w:type="pct"/>
          </w:tcPr>
          <w:p w:rsidR="00E659A9" w:rsidRPr="0051775B" w:rsidRDefault="00E659A9" w:rsidP="001731FC">
            <w:pPr>
              <w:jc w:val="center"/>
              <w:rPr>
                <w:sz w:val="18"/>
                <w:szCs w:val="18"/>
              </w:rPr>
            </w:pPr>
            <w:r w:rsidRPr="0051775B">
              <w:rPr>
                <w:rFonts w:cstheme="minorHAnsi"/>
                <w:sz w:val="18"/>
                <w:szCs w:val="18"/>
              </w:rPr>
              <w:t>1,13±0,53</w:t>
            </w:r>
          </w:p>
        </w:tc>
      </w:tr>
      <w:tr w:rsidR="00E659A9" w:rsidRPr="0051775B" w:rsidTr="00DF11CD">
        <w:tc>
          <w:tcPr>
            <w:tcW w:w="1565" w:type="pct"/>
          </w:tcPr>
          <w:p w:rsidR="00E659A9" w:rsidRPr="0051775B" w:rsidRDefault="00E659A9" w:rsidP="001731FC">
            <w:pPr>
              <w:rPr>
                <w:sz w:val="18"/>
                <w:szCs w:val="18"/>
              </w:rPr>
            </w:pPr>
            <w:r w:rsidRPr="0051775B">
              <w:rPr>
                <w:sz w:val="18"/>
                <w:szCs w:val="18"/>
              </w:rPr>
              <w:t>POST-BUBBLE BHI MCA ipsilateral</w:t>
            </w:r>
          </w:p>
        </w:tc>
        <w:tc>
          <w:tcPr>
            <w:tcW w:w="522" w:type="pct"/>
          </w:tcPr>
          <w:p w:rsidR="00E659A9" w:rsidRPr="0051775B" w:rsidRDefault="00E659A9" w:rsidP="001731FC">
            <w:pPr>
              <w:jc w:val="center"/>
              <w:rPr>
                <w:sz w:val="18"/>
                <w:szCs w:val="18"/>
              </w:rPr>
            </w:pPr>
            <w:r w:rsidRPr="0051775B">
              <w:rPr>
                <w:sz w:val="18"/>
                <w:szCs w:val="18"/>
              </w:rPr>
              <w:t>0,93</w:t>
            </w:r>
            <w:r w:rsidRPr="0051775B">
              <w:rPr>
                <w:rFonts w:cstheme="minorHAnsi"/>
                <w:sz w:val="18"/>
                <w:szCs w:val="18"/>
              </w:rPr>
              <w:t>±0,47</w:t>
            </w:r>
          </w:p>
        </w:tc>
        <w:tc>
          <w:tcPr>
            <w:tcW w:w="523" w:type="pct"/>
          </w:tcPr>
          <w:p w:rsidR="00E659A9" w:rsidRPr="0051775B" w:rsidRDefault="00E659A9" w:rsidP="001731FC">
            <w:pPr>
              <w:jc w:val="center"/>
              <w:rPr>
                <w:sz w:val="18"/>
                <w:szCs w:val="18"/>
              </w:rPr>
            </w:pPr>
            <w:r w:rsidRPr="0051775B">
              <w:rPr>
                <w:sz w:val="18"/>
                <w:szCs w:val="18"/>
              </w:rPr>
              <w:t>1,22</w:t>
            </w:r>
            <w:r w:rsidRPr="0051775B">
              <w:rPr>
                <w:rFonts w:cstheme="minorHAnsi"/>
                <w:sz w:val="18"/>
                <w:szCs w:val="18"/>
              </w:rPr>
              <w:t>±0,56</w:t>
            </w:r>
          </w:p>
        </w:tc>
        <w:tc>
          <w:tcPr>
            <w:tcW w:w="597" w:type="pct"/>
          </w:tcPr>
          <w:p w:rsidR="00E659A9" w:rsidRPr="0051775B" w:rsidRDefault="00E659A9" w:rsidP="001731FC">
            <w:pPr>
              <w:jc w:val="center"/>
              <w:rPr>
                <w:sz w:val="18"/>
                <w:szCs w:val="18"/>
              </w:rPr>
            </w:pPr>
            <w:r w:rsidRPr="0051775B">
              <w:rPr>
                <w:rFonts w:cstheme="minorHAnsi"/>
                <w:sz w:val="18"/>
                <w:szCs w:val="18"/>
              </w:rPr>
              <w:t>1,13±0,58</w:t>
            </w:r>
          </w:p>
        </w:tc>
        <w:tc>
          <w:tcPr>
            <w:tcW w:w="597" w:type="pct"/>
          </w:tcPr>
          <w:p w:rsidR="00E659A9" w:rsidRPr="0051775B" w:rsidRDefault="00E659A9" w:rsidP="001731FC">
            <w:pPr>
              <w:jc w:val="center"/>
              <w:rPr>
                <w:sz w:val="18"/>
                <w:szCs w:val="18"/>
              </w:rPr>
            </w:pPr>
            <w:r w:rsidRPr="0051775B">
              <w:rPr>
                <w:rFonts w:cstheme="minorHAnsi"/>
                <w:sz w:val="18"/>
                <w:szCs w:val="18"/>
              </w:rPr>
              <w:t>0,98±0,40</w:t>
            </w:r>
          </w:p>
        </w:tc>
        <w:tc>
          <w:tcPr>
            <w:tcW w:w="597" w:type="pct"/>
          </w:tcPr>
          <w:p w:rsidR="00E659A9" w:rsidRPr="0051775B" w:rsidRDefault="00E659A9" w:rsidP="001731FC">
            <w:pPr>
              <w:jc w:val="center"/>
              <w:rPr>
                <w:sz w:val="18"/>
                <w:szCs w:val="18"/>
              </w:rPr>
            </w:pPr>
            <w:r w:rsidRPr="0051775B">
              <w:rPr>
                <w:rFonts w:cstheme="minorHAnsi"/>
                <w:sz w:val="18"/>
                <w:szCs w:val="18"/>
              </w:rPr>
              <w:t>0.92±0.52</w:t>
            </w:r>
          </w:p>
        </w:tc>
        <w:tc>
          <w:tcPr>
            <w:tcW w:w="597" w:type="pct"/>
          </w:tcPr>
          <w:p w:rsidR="00E659A9" w:rsidRPr="0051775B" w:rsidRDefault="00E659A9" w:rsidP="001731FC">
            <w:pPr>
              <w:jc w:val="center"/>
              <w:rPr>
                <w:sz w:val="18"/>
                <w:szCs w:val="18"/>
              </w:rPr>
            </w:pPr>
            <w:r w:rsidRPr="0051775B">
              <w:rPr>
                <w:rFonts w:cstheme="minorHAnsi"/>
                <w:sz w:val="18"/>
                <w:szCs w:val="18"/>
              </w:rPr>
              <w:t>1,15±±0,50</w:t>
            </w:r>
          </w:p>
        </w:tc>
      </w:tr>
      <w:tr w:rsidR="00E659A9" w:rsidRPr="0051775B" w:rsidTr="00DF11CD">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0,326</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0.751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0,169</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0,115</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0.212</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0,711</w:t>
            </w:r>
          </w:p>
        </w:tc>
      </w:tr>
      <w:tr w:rsidR="00E659A9" w:rsidRPr="0051775B" w:rsidTr="00DF11CD">
        <w:tc>
          <w:tcPr>
            <w:tcW w:w="1565" w:type="pct"/>
          </w:tcPr>
          <w:p w:rsidR="00E659A9" w:rsidRPr="0051775B" w:rsidRDefault="00E659A9" w:rsidP="001731FC">
            <w:pPr>
              <w:rPr>
                <w:sz w:val="18"/>
                <w:szCs w:val="18"/>
              </w:rPr>
            </w:pPr>
            <w:r w:rsidRPr="0051775B">
              <w:rPr>
                <w:sz w:val="18"/>
                <w:szCs w:val="18"/>
              </w:rPr>
              <w:t>PRE-BUBBLE BHI MCA contrlateral</w:t>
            </w:r>
          </w:p>
        </w:tc>
        <w:tc>
          <w:tcPr>
            <w:tcW w:w="522" w:type="pct"/>
          </w:tcPr>
          <w:p w:rsidR="00E659A9" w:rsidRPr="0051775B" w:rsidRDefault="00E659A9" w:rsidP="001731FC">
            <w:pPr>
              <w:jc w:val="center"/>
              <w:rPr>
                <w:sz w:val="18"/>
                <w:szCs w:val="18"/>
              </w:rPr>
            </w:pPr>
            <w:r w:rsidRPr="0051775B">
              <w:rPr>
                <w:sz w:val="18"/>
                <w:szCs w:val="18"/>
              </w:rPr>
              <w:t>1,07</w:t>
            </w:r>
            <w:r w:rsidRPr="0051775B">
              <w:rPr>
                <w:rFonts w:cstheme="minorHAnsi"/>
                <w:sz w:val="18"/>
                <w:szCs w:val="18"/>
              </w:rPr>
              <w:t>±0,64</w:t>
            </w:r>
          </w:p>
        </w:tc>
        <w:tc>
          <w:tcPr>
            <w:tcW w:w="523" w:type="pct"/>
          </w:tcPr>
          <w:p w:rsidR="00E659A9" w:rsidRPr="0051775B" w:rsidRDefault="00E659A9" w:rsidP="001731FC">
            <w:pPr>
              <w:jc w:val="center"/>
              <w:rPr>
                <w:sz w:val="18"/>
                <w:szCs w:val="18"/>
              </w:rPr>
            </w:pPr>
            <w:r w:rsidRPr="0051775B">
              <w:rPr>
                <w:sz w:val="18"/>
                <w:szCs w:val="18"/>
              </w:rPr>
              <w:t>1,28</w:t>
            </w:r>
            <w:r w:rsidRPr="0051775B">
              <w:rPr>
                <w:rFonts w:cstheme="minorHAnsi"/>
                <w:sz w:val="18"/>
                <w:szCs w:val="18"/>
              </w:rPr>
              <w:t>±0,45</w:t>
            </w:r>
          </w:p>
        </w:tc>
        <w:tc>
          <w:tcPr>
            <w:tcW w:w="597" w:type="pct"/>
          </w:tcPr>
          <w:p w:rsidR="00E659A9" w:rsidRPr="0051775B" w:rsidRDefault="00E659A9" w:rsidP="001731FC">
            <w:pPr>
              <w:jc w:val="center"/>
              <w:rPr>
                <w:sz w:val="18"/>
                <w:szCs w:val="18"/>
              </w:rPr>
            </w:pPr>
            <w:r w:rsidRPr="0051775B">
              <w:rPr>
                <w:rFonts w:cstheme="minorHAnsi"/>
                <w:sz w:val="18"/>
                <w:szCs w:val="18"/>
              </w:rPr>
              <w:t>1,26±0,57</w:t>
            </w:r>
          </w:p>
        </w:tc>
        <w:tc>
          <w:tcPr>
            <w:tcW w:w="597" w:type="pct"/>
          </w:tcPr>
          <w:p w:rsidR="00E659A9" w:rsidRPr="0051775B" w:rsidRDefault="00E659A9" w:rsidP="001731FC">
            <w:pPr>
              <w:jc w:val="center"/>
              <w:rPr>
                <w:sz w:val="18"/>
                <w:szCs w:val="18"/>
              </w:rPr>
            </w:pPr>
            <w:r w:rsidRPr="0051775B">
              <w:rPr>
                <w:rFonts w:cstheme="minorHAnsi"/>
                <w:sz w:val="18"/>
                <w:szCs w:val="18"/>
              </w:rPr>
              <w:t>1,03±0,50</w:t>
            </w:r>
          </w:p>
        </w:tc>
        <w:tc>
          <w:tcPr>
            <w:tcW w:w="597" w:type="pct"/>
          </w:tcPr>
          <w:p w:rsidR="00E659A9" w:rsidRPr="0051775B" w:rsidRDefault="00E659A9" w:rsidP="001731FC">
            <w:pPr>
              <w:jc w:val="center"/>
              <w:rPr>
                <w:sz w:val="18"/>
                <w:szCs w:val="18"/>
              </w:rPr>
            </w:pPr>
            <w:r w:rsidRPr="0051775B">
              <w:rPr>
                <w:rFonts w:cstheme="minorHAnsi"/>
                <w:sz w:val="18"/>
                <w:szCs w:val="18"/>
              </w:rPr>
              <w:t>1,04±0,64</w:t>
            </w:r>
          </w:p>
        </w:tc>
        <w:tc>
          <w:tcPr>
            <w:tcW w:w="597" w:type="pct"/>
          </w:tcPr>
          <w:p w:rsidR="00E659A9" w:rsidRPr="0051775B" w:rsidRDefault="00E659A9" w:rsidP="001731FC">
            <w:pPr>
              <w:jc w:val="center"/>
              <w:rPr>
                <w:sz w:val="18"/>
                <w:szCs w:val="18"/>
              </w:rPr>
            </w:pPr>
            <w:r w:rsidRPr="0051775B">
              <w:rPr>
                <w:rFonts w:cstheme="minorHAnsi"/>
                <w:sz w:val="18"/>
                <w:szCs w:val="18"/>
              </w:rPr>
              <w:t>1.25±0,50±</w:t>
            </w:r>
          </w:p>
        </w:tc>
      </w:tr>
      <w:tr w:rsidR="00E659A9" w:rsidRPr="0051775B" w:rsidTr="00DF11CD">
        <w:tc>
          <w:tcPr>
            <w:tcW w:w="1565" w:type="pct"/>
          </w:tcPr>
          <w:p w:rsidR="00E659A9" w:rsidRPr="0051775B" w:rsidRDefault="00E659A9" w:rsidP="001731FC">
            <w:pPr>
              <w:rPr>
                <w:sz w:val="18"/>
                <w:szCs w:val="18"/>
              </w:rPr>
            </w:pPr>
            <w:r w:rsidRPr="0051775B">
              <w:rPr>
                <w:sz w:val="18"/>
                <w:szCs w:val="18"/>
              </w:rPr>
              <w:t>POST-BUBBLE BHI MCA contrlateral</w:t>
            </w:r>
          </w:p>
        </w:tc>
        <w:tc>
          <w:tcPr>
            <w:tcW w:w="522" w:type="pct"/>
          </w:tcPr>
          <w:p w:rsidR="00E659A9" w:rsidRPr="0051775B" w:rsidRDefault="00E659A9" w:rsidP="001731FC">
            <w:pPr>
              <w:jc w:val="center"/>
              <w:rPr>
                <w:sz w:val="18"/>
                <w:szCs w:val="18"/>
              </w:rPr>
            </w:pPr>
            <w:r w:rsidRPr="0051775B">
              <w:rPr>
                <w:sz w:val="18"/>
                <w:szCs w:val="18"/>
              </w:rPr>
              <w:t>1,00</w:t>
            </w:r>
            <w:r w:rsidRPr="0051775B">
              <w:rPr>
                <w:rFonts w:cstheme="minorHAnsi"/>
                <w:sz w:val="18"/>
                <w:szCs w:val="18"/>
              </w:rPr>
              <w:t>±0,63</w:t>
            </w:r>
          </w:p>
        </w:tc>
        <w:tc>
          <w:tcPr>
            <w:tcW w:w="523" w:type="pct"/>
          </w:tcPr>
          <w:p w:rsidR="00E659A9" w:rsidRPr="0051775B" w:rsidRDefault="00E659A9" w:rsidP="001731FC">
            <w:pPr>
              <w:jc w:val="center"/>
              <w:rPr>
                <w:sz w:val="18"/>
                <w:szCs w:val="18"/>
              </w:rPr>
            </w:pPr>
            <w:r w:rsidRPr="0051775B">
              <w:rPr>
                <w:sz w:val="18"/>
                <w:szCs w:val="18"/>
              </w:rPr>
              <w:t>1,23</w:t>
            </w:r>
            <w:r w:rsidRPr="0051775B">
              <w:rPr>
                <w:rFonts w:cstheme="minorHAnsi"/>
                <w:sz w:val="18"/>
                <w:szCs w:val="18"/>
              </w:rPr>
              <w:t>±0,53</w:t>
            </w:r>
          </w:p>
        </w:tc>
        <w:tc>
          <w:tcPr>
            <w:tcW w:w="597" w:type="pct"/>
          </w:tcPr>
          <w:p w:rsidR="00E659A9" w:rsidRPr="0051775B" w:rsidRDefault="00E659A9" w:rsidP="001731FC">
            <w:pPr>
              <w:jc w:val="center"/>
              <w:rPr>
                <w:sz w:val="18"/>
                <w:szCs w:val="18"/>
              </w:rPr>
            </w:pPr>
            <w:r w:rsidRPr="0051775B">
              <w:rPr>
                <w:rFonts w:cstheme="minorHAnsi"/>
                <w:sz w:val="18"/>
                <w:szCs w:val="18"/>
              </w:rPr>
              <w:t>1,22±0,64</w:t>
            </w:r>
          </w:p>
        </w:tc>
        <w:tc>
          <w:tcPr>
            <w:tcW w:w="597" w:type="pct"/>
          </w:tcPr>
          <w:p w:rsidR="00E659A9" w:rsidRPr="0051775B" w:rsidRDefault="00E659A9" w:rsidP="001731FC">
            <w:pPr>
              <w:jc w:val="center"/>
              <w:rPr>
                <w:sz w:val="18"/>
                <w:szCs w:val="18"/>
              </w:rPr>
            </w:pPr>
            <w:r w:rsidRPr="0051775B">
              <w:rPr>
                <w:rFonts w:cstheme="minorHAnsi"/>
                <w:sz w:val="18"/>
                <w:szCs w:val="18"/>
              </w:rPr>
              <w:t>0,93±0,40</w:t>
            </w:r>
          </w:p>
        </w:tc>
        <w:tc>
          <w:tcPr>
            <w:tcW w:w="597" w:type="pct"/>
          </w:tcPr>
          <w:p w:rsidR="00E659A9" w:rsidRPr="0051775B" w:rsidRDefault="00E659A9" w:rsidP="001731FC">
            <w:pPr>
              <w:jc w:val="center"/>
              <w:rPr>
                <w:sz w:val="18"/>
                <w:szCs w:val="18"/>
              </w:rPr>
            </w:pPr>
            <w:r w:rsidRPr="0051775B">
              <w:rPr>
                <w:rFonts w:cstheme="minorHAnsi"/>
                <w:sz w:val="18"/>
                <w:szCs w:val="18"/>
              </w:rPr>
              <w:t>1,03±0,68</w:t>
            </w:r>
          </w:p>
        </w:tc>
        <w:tc>
          <w:tcPr>
            <w:tcW w:w="597" w:type="pct"/>
          </w:tcPr>
          <w:p w:rsidR="00E659A9" w:rsidRPr="0051775B" w:rsidRDefault="00E659A9" w:rsidP="001731FC">
            <w:pPr>
              <w:jc w:val="center"/>
              <w:rPr>
                <w:sz w:val="18"/>
                <w:szCs w:val="18"/>
              </w:rPr>
            </w:pPr>
            <w:r w:rsidRPr="0051775B">
              <w:rPr>
                <w:rFonts w:cstheme="minorHAnsi"/>
                <w:sz w:val="18"/>
                <w:szCs w:val="18"/>
              </w:rPr>
              <w:t>1,17±0,54</w:t>
            </w:r>
          </w:p>
        </w:tc>
      </w:tr>
      <w:tr w:rsidR="00E659A9" w:rsidRPr="0051775B" w:rsidTr="00DF11CD">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0,306</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0.457</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0,450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0,297</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0.874</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0,183</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ALL</w:t>
            </w:r>
          </w:p>
        </w:tc>
        <w:tc>
          <w:tcPr>
            <w:tcW w:w="522" w:type="pct"/>
          </w:tcPr>
          <w:p w:rsidR="00E659A9" w:rsidRPr="0051775B" w:rsidRDefault="00E659A9">
            <w:pPr>
              <w:jc w:val="center"/>
              <w:rPr>
                <w:sz w:val="18"/>
                <w:szCs w:val="18"/>
              </w:rPr>
            </w:pPr>
            <w:r>
              <w:rPr>
                <w:sz w:val="18"/>
                <w:szCs w:val="18"/>
              </w:rPr>
              <w:t>0,07</w:t>
            </w:r>
            <w:r w:rsidRPr="0051775B">
              <w:rPr>
                <w:rFonts w:cstheme="minorHAnsi"/>
                <w:sz w:val="18"/>
                <w:szCs w:val="18"/>
              </w:rPr>
              <w:t>±</w:t>
            </w:r>
            <w:r>
              <w:rPr>
                <w:rFonts w:cstheme="minorHAnsi"/>
                <w:sz w:val="18"/>
                <w:szCs w:val="18"/>
              </w:rPr>
              <w:t>0,29</w:t>
            </w:r>
          </w:p>
        </w:tc>
        <w:tc>
          <w:tcPr>
            <w:tcW w:w="523" w:type="pct"/>
          </w:tcPr>
          <w:p w:rsidR="00E659A9" w:rsidRPr="0051775B" w:rsidRDefault="00E659A9" w:rsidP="001731FC">
            <w:pPr>
              <w:jc w:val="center"/>
              <w:rPr>
                <w:sz w:val="18"/>
                <w:szCs w:val="18"/>
              </w:rPr>
            </w:pPr>
            <w:r>
              <w:rPr>
                <w:sz w:val="18"/>
                <w:szCs w:val="18"/>
              </w:rPr>
              <w:t>0,03</w:t>
            </w:r>
            <w:r w:rsidRPr="0051775B">
              <w:rPr>
                <w:rFonts w:cstheme="minorHAnsi"/>
                <w:sz w:val="18"/>
                <w:szCs w:val="18"/>
              </w:rPr>
              <w:t>±</w:t>
            </w:r>
            <w:r>
              <w:rPr>
                <w:rFonts w:cstheme="minorHAnsi"/>
                <w:sz w:val="18"/>
                <w:szCs w:val="18"/>
              </w:rPr>
              <w:t>0,28</w:t>
            </w:r>
          </w:p>
        </w:tc>
        <w:tc>
          <w:tcPr>
            <w:tcW w:w="597" w:type="pct"/>
          </w:tcPr>
          <w:p w:rsidR="00E659A9" w:rsidRPr="0051775B" w:rsidRDefault="00E659A9" w:rsidP="001731FC">
            <w:pPr>
              <w:jc w:val="center"/>
              <w:rPr>
                <w:sz w:val="18"/>
                <w:szCs w:val="18"/>
              </w:rPr>
            </w:pPr>
            <w:r>
              <w:rPr>
                <w:sz w:val="18"/>
                <w:szCs w:val="18"/>
              </w:rPr>
              <w:t>0,07</w:t>
            </w:r>
            <w:r w:rsidRPr="0051775B">
              <w:rPr>
                <w:rFonts w:cstheme="minorHAnsi"/>
                <w:sz w:val="18"/>
                <w:szCs w:val="18"/>
              </w:rPr>
              <w:t>±</w:t>
            </w:r>
            <w:r>
              <w:rPr>
                <w:rFonts w:cstheme="minorHAnsi"/>
                <w:sz w:val="18"/>
                <w:szCs w:val="18"/>
              </w:rPr>
              <w:t>0,29</w:t>
            </w:r>
          </w:p>
        </w:tc>
        <w:tc>
          <w:tcPr>
            <w:tcW w:w="597" w:type="pct"/>
          </w:tcPr>
          <w:p w:rsidR="00E659A9" w:rsidRPr="0051775B" w:rsidRDefault="00E659A9">
            <w:pPr>
              <w:jc w:val="center"/>
              <w:rPr>
                <w:sz w:val="18"/>
                <w:szCs w:val="18"/>
              </w:rPr>
            </w:pPr>
            <w:r>
              <w:rPr>
                <w:sz w:val="18"/>
                <w:szCs w:val="18"/>
              </w:rPr>
              <w:t>0,13</w:t>
            </w:r>
            <w:r w:rsidRPr="0051775B">
              <w:rPr>
                <w:rFonts w:cstheme="minorHAnsi"/>
                <w:sz w:val="18"/>
                <w:szCs w:val="18"/>
              </w:rPr>
              <w:t>±</w:t>
            </w:r>
            <w:r>
              <w:rPr>
                <w:rFonts w:cstheme="minorHAnsi"/>
                <w:sz w:val="18"/>
                <w:szCs w:val="18"/>
              </w:rPr>
              <w:t>0,54</w:t>
            </w:r>
          </w:p>
        </w:tc>
        <w:tc>
          <w:tcPr>
            <w:tcW w:w="597" w:type="pct"/>
          </w:tcPr>
          <w:p w:rsidR="00E659A9" w:rsidRPr="0051775B" w:rsidRDefault="00E659A9" w:rsidP="001731FC">
            <w:pPr>
              <w:jc w:val="center"/>
              <w:rPr>
                <w:sz w:val="18"/>
                <w:szCs w:val="18"/>
              </w:rPr>
            </w:pPr>
            <w:r>
              <w:rPr>
                <w:sz w:val="18"/>
                <w:szCs w:val="18"/>
              </w:rPr>
              <w:t>0,07</w:t>
            </w:r>
            <w:r w:rsidRPr="0051775B">
              <w:rPr>
                <w:rFonts w:cstheme="minorHAnsi"/>
                <w:sz w:val="18"/>
                <w:szCs w:val="18"/>
              </w:rPr>
              <w:t>±</w:t>
            </w:r>
            <w:r>
              <w:rPr>
                <w:rFonts w:cstheme="minorHAnsi"/>
                <w:sz w:val="18"/>
                <w:szCs w:val="18"/>
              </w:rPr>
              <w:t>0,27</w:t>
            </w:r>
          </w:p>
        </w:tc>
        <w:tc>
          <w:tcPr>
            <w:tcW w:w="597" w:type="pct"/>
          </w:tcPr>
          <w:p w:rsidR="00E659A9" w:rsidRPr="0051775B" w:rsidRDefault="00E659A9" w:rsidP="001731FC">
            <w:pPr>
              <w:jc w:val="center"/>
              <w:rPr>
                <w:sz w:val="18"/>
                <w:szCs w:val="18"/>
              </w:rPr>
            </w:pPr>
            <w:r>
              <w:rPr>
                <w:sz w:val="18"/>
                <w:szCs w:val="18"/>
              </w:rPr>
              <w:t>0,10</w:t>
            </w:r>
            <w:r w:rsidRPr="0051775B">
              <w:rPr>
                <w:rFonts w:cstheme="minorHAnsi"/>
                <w:sz w:val="18"/>
                <w:szCs w:val="18"/>
              </w:rPr>
              <w:t>±</w:t>
            </w:r>
            <w:r>
              <w:rPr>
                <w:rFonts w:cstheme="minorHAnsi"/>
                <w:sz w:val="18"/>
                <w:szCs w:val="18"/>
              </w:rPr>
              <w:t>0,42</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P=0,554</w:t>
            </w:r>
          </w:p>
        </w:tc>
        <w:tc>
          <w:tcPr>
            <w:tcW w:w="1195" w:type="pct"/>
            <w:gridSpan w:val="2"/>
          </w:tcPr>
          <w:p w:rsidR="00E659A9" w:rsidRPr="0051775B" w:rsidRDefault="00E659A9" w:rsidP="001731FC">
            <w:pPr>
              <w:jc w:val="center"/>
              <w:rPr>
                <w:sz w:val="18"/>
                <w:szCs w:val="18"/>
              </w:rPr>
            </w:pPr>
            <w:r>
              <w:rPr>
                <w:sz w:val="18"/>
                <w:szCs w:val="18"/>
              </w:rPr>
              <w:t>P=0,681</w:t>
            </w:r>
          </w:p>
        </w:tc>
        <w:tc>
          <w:tcPr>
            <w:tcW w:w="1195" w:type="pct"/>
            <w:gridSpan w:val="2"/>
          </w:tcPr>
          <w:p w:rsidR="00E659A9" w:rsidRPr="0051775B" w:rsidRDefault="00E659A9" w:rsidP="001731FC">
            <w:pPr>
              <w:jc w:val="center"/>
              <w:rPr>
                <w:sz w:val="18"/>
                <w:szCs w:val="18"/>
              </w:rPr>
            </w:pPr>
            <w:r>
              <w:rPr>
                <w:sz w:val="18"/>
                <w:szCs w:val="18"/>
              </w:rPr>
              <w:t>P=0,109</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IPSI</w:t>
            </w:r>
          </w:p>
        </w:tc>
        <w:tc>
          <w:tcPr>
            <w:tcW w:w="522" w:type="pct"/>
          </w:tcPr>
          <w:p w:rsidR="00E659A9" w:rsidRPr="0051775B" w:rsidRDefault="00E659A9" w:rsidP="001731FC">
            <w:pPr>
              <w:jc w:val="center"/>
              <w:rPr>
                <w:sz w:val="18"/>
                <w:szCs w:val="18"/>
              </w:rPr>
            </w:pPr>
            <w:r>
              <w:rPr>
                <w:sz w:val="18"/>
                <w:szCs w:val="18"/>
              </w:rPr>
              <w:t>0,06</w:t>
            </w:r>
            <w:r w:rsidRPr="0051775B">
              <w:rPr>
                <w:rFonts w:cstheme="minorHAnsi"/>
                <w:sz w:val="18"/>
                <w:szCs w:val="18"/>
              </w:rPr>
              <w:t>±</w:t>
            </w:r>
            <w:r>
              <w:rPr>
                <w:rFonts w:cstheme="minorHAnsi"/>
                <w:sz w:val="18"/>
                <w:szCs w:val="18"/>
              </w:rPr>
              <w:t>0,36</w:t>
            </w:r>
          </w:p>
        </w:tc>
        <w:tc>
          <w:tcPr>
            <w:tcW w:w="523" w:type="pct"/>
          </w:tcPr>
          <w:p w:rsidR="00E659A9" w:rsidRPr="0051775B" w:rsidRDefault="00E659A9" w:rsidP="001731FC">
            <w:pPr>
              <w:jc w:val="center"/>
              <w:rPr>
                <w:sz w:val="18"/>
                <w:szCs w:val="18"/>
              </w:rPr>
            </w:pPr>
            <w:r>
              <w:rPr>
                <w:sz w:val="18"/>
                <w:szCs w:val="18"/>
              </w:rPr>
              <w:t>0,03</w:t>
            </w:r>
            <w:r w:rsidRPr="0051775B">
              <w:rPr>
                <w:rFonts w:cstheme="minorHAnsi"/>
                <w:sz w:val="18"/>
                <w:szCs w:val="18"/>
              </w:rPr>
              <w:t>±</w:t>
            </w:r>
            <w:r>
              <w:rPr>
                <w:rFonts w:cstheme="minorHAnsi"/>
                <w:sz w:val="18"/>
                <w:szCs w:val="18"/>
              </w:rPr>
              <w:t>0,40</w:t>
            </w:r>
          </w:p>
        </w:tc>
        <w:tc>
          <w:tcPr>
            <w:tcW w:w="597" w:type="pct"/>
          </w:tcPr>
          <w:p w:rsidR="00E659A9" w:rsidRPr="0051775B" w:rsidRDefault="00E659A9">
            <w:pPr>
              <w:jc w:val="center"/>
              <w:rPr>
                <w:sz w:val="18"/>
                <w:szCs w:val="18"/>
              </w:rPr>
            </w:pPr>
            <w:r>
              <w:rPr>
                <w:sz w:val="18"/>
                <w:szCs w:val="18"/>
              </w:rPr>
              <w:t>0,16</w:t>
            </w:r>
            <w:r w:rsidRPr="0051775B">
              <w:rPr>
                <w:rFonts w:cstheme="minorHAnsi"/>
                <w:sz w:val="18"/>
                <w:szCs w:val="18"/>
              </w:rPr>
              <w:t>±</w:t>
            </w:r>
            <w:r>
              <w:rPr>
                <w:rFonts w:cstheme="minorHAnsi"/>
                <w:sz w:val="18"/>
                <w:szCs w:val="18"/>
              </w:rPr>
              <w:t>0,33</w:t>
            </w:r>
          </w:p>
        </w:tc>
        <w:tc>
          <w:tcPr>
            <w:tcW w:w="597" w:type="pct"/>
          </w:tcPr>
          <w:p w:rsidR="00E659A9" w:rsidRPr="0051775B" w:rsidRDefault="00E659A9">
            <w:pPr>
              <w:jc w:val="center"/>
              <w:rPr>
                <w:sz w:val="18"/>
                <w:szCs w:val="18"/>
              </w:rPr>
            </w:pPr>
            <w:r>
              <w:rPr>
                <w:sz w:val="18"/>
                <w:szCs w:val="18"/>
              </w:rPr>
              <w:t>0,04</w:t>
            </w:r>
            <w:r w:rsidRPr="0051775B">
              <w:rPr>
                <w:rFonts w:cstheme="minorHAnsi"/>
                <w:sz w:val="18"/>
                <w:szCs w:val="18"/>
              </w:rPr>
              <w:t>±</w:t>
            </w:r>
            <w:r>
              <w:rPr>
                <w:rFonts w:cstheme="minorHAnsi"/>
                <w:sz w:val="18"/>
                <w:szCs w:val="18"/>
              </w:rPr>
              <w:t>0,56</w:t>
            </w:r>
          </w:p>
        </w:tc>
        <w:tc>
          <w:tcPr>
            <w:tcW w:w="597" w:type="pct"/>
          </w:tcPr>
          <w:p w:rsidR="00E659A9" w:rsidRPr="0051775B" w:rsidRDefault="00E659A9" w:rsidP="001731FC">
            <w:pPr>
              <w:jc w:val="center"/>
              <w:rPr>
                <w:sz w:val="18"/>
                <w:szCs w:val="18"/>
              </w:rPr>
            </w:pPr>
            <w:r>
              <w:rPr>
                <w:sz w:val="18"/>
                <w:szCs w:val="18"/>
              </w:rPr>
              <w:t>0,14</w:t>
            </w:r>
            <w:r w:rsidRPr="0051775B">
              <w:rPr>
                <w:rFonts w:cstheme="minorHAnsi"/>
                <w:sz w:val="18"/>
                <w:szCs w:val="18"/>
              </w:rPr>
              <w:t>±</w:t>
            </w:r>
            <w:r>
              <w:rPr>
                <w:rFonts w:cstheme="minorHAnsi"/>
                <w:sz w:val="18"/>
                <w:szCs w:val="18"/>
              </w:rPr>
              <w:t>0,32</w:t>
            </w:r>
          </w:p>
        </w:tc>
        <w:tc>
          <w:tcPr>
            <w:tcW w:w="597" w:type="pct"/>
          </w:tcPr>
          <w:p w:rsidR="00E659A9" w:rsidRPr="0051775B" w:rsidRDefault="00E659A9" w:rsidP="001731FC">
            <w:pPr>
              <w:jc w:val="center"/>
              <w:rPr>
                <w:sz w:val="18"/>
                <w:szCs w:val="18"/>
              </w:rPr>
            </w:pPr>
            <w:r>
              <w:rPr>
                <w:sz w:val="18"/>
                <w:szCs w:val="18"/>
              </w:rPr>
              <w:t>0,11</w:t>
            </w:r>
            <w:r w:rsidRPr="0051775B">
              <w:rPr>
                <w:rFonts w:cstheme="minorHAnsi"/>
                <w:sz w:val="18"/>
                <w:szCs w:val="18"/>
              </w:rPr>
              <w:t>±</w:t>
            </w:r>
            <w:r>
              <w:rPr>
                <w:rFonts w:cstheme="minorHAnsi"/>
                <w:sz w:val="18"/>
                <w:szCs w:val="18"/>
              </w:rPr>
              <w:t>0,47</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P=0,753</w:t>
            </w:r>
          </w:p>
        </w:tc>
        <w:tc>
          <w:tcPr>
            <w:tcW w:w="1195" w:type="pct"/>
            <w:gridSpan w:val="2"/>
          </w:tcPr>
          <w:p w:rsidR="00E659A9" w:rsidRPr="0051775B" w:rsidRDefault="00E659A9" w:rsidP="001731FC">
            <w:pPr>
              <w:jc w:val="center"/>
              <w:rPr>
                <w:sz w:val="18"/>
                <w:szCs w:val="18"/>
              </w:rPr>
            </w:pPr>
            <w:r>
              <w:rPr>
                <w:sz w:val="18"/>
                <w:szCs w:val="18"/>
              </w:rPr>
              <w:t>P=0,426</w:t>
            </w:r>
          </w:p>
        </w:tc>
        <w:tc>
          <w:tcPr>
            <w:tcW w:w="1195" w:type="pct"/>
            <w:gridSpan w:val="2"/>
          </w:tcPr>
          <w:p w:rsidR="00E659A9" w:rsidRPr="0051775B" w:rsidRDefault="00E659A9" w:rsidP="001731FC">
            <w:pPr>
              <w:jc w:val="center"/>
              <w:rPr>
                <w:sz w:val="18"/>
                <w:szCs w:val="18"/>
              </w:rPr>
            </w:pPr>
            <w:r>
              <w:rPr>
                <w:sz w:val="18"/>
                <w:szCs w:val="18"/>
              </w:rPr>
              <w:t>P=0,123</w:t>
            </w:r>
          </w:p>
        </w:tc>
      </w:tr>
      <w:tr w:rsidR="00E659A9" w:rsidRPr="0051775B" w:rsidTr="00DF11CD">
        <w:tc>
          <w:tcPr>
            <w:tcW w:w="1565" w:type="pct"/>
          </w:tcPr>
          <w:p w:rsidR="00E659A9" w:rsidRPr="0051775B" w:rsidRDefault="00E659A9" w:rsidP="001731FC">
            <w:pPr>
              <w:rPr>
                <w:sz w:val="18"/>
                <w:szCs w:val="18"/>
              </w:rPr>
            </w:pPr>
            <w:r>
              <w:rPr>
                <w:sz w:val="18"/>
                <w:szCs w:val="18"/>
              </w:rPr>
              <w:t>PRE-POST BHI farkı ortalması KONTR</w:t>
            </w:r>
          </w:p>
        </w:tc>
        <w:tc>
          <w:tcPr>
            <w:tcW w:w="522" w:type="pct"/>
          </w:tcPr>
          <w:p w:rsidR="00E659A9" w:rsidRPr="0051775B" w:rsidRDefault="00E659A9" w:rsidP="001731FC">
            <w:pPr>
              <w:jc w:val="center"/>
              <w:rPr>
                <w:sz w:val="18"/>
                <w:szCs w:val="18"/>
              </w:rPr>
            </w:pPr>
            <w:r>
              <w:rPr>
                <w:sz w:val="18"/>
                <w:szCs w:val="18"/>
              </w:rPr>
              <w:t>0,08</w:t>
            </w:r>
            <w:r w:rsidRPr="0051775B">
              <w:rPr>
                <w:rFonts w:cstheme="minorHAnsi"/>
                <w:sz w:val="18"/>
                <w:szCs w:val="18"/>
              </w:rPr>
              <w:t>±</w:t>
            </w:r>
            <w:r>
              <w:rPr>
                <w:rFonts w:cstheme="minorHAnsi"/>
                <w:sz w:val="18"/>
                <w:szCs w:val="18"/>
              </w:rPr>
              <w:t>0,36</w:t>
            </w:r>
          </w:p>
        </w:tc>
        <w:tc>
          <w:tcPr>
            <w:tcW w:w="523" w:type="pct"/>
          </w:tcPr>
          <w:p w:rsidR="00E659A9" w:rsidRPr="0051775B" w:rsidRDefault="00E659A9" w:rsidP="001731FC">
            <w:pPr>
              <w:jc w:val="center"/>
              <w:rPr>
                <w:sz w:val="18"/>
                <w:szCs w:val="18"/>
              </w:rPr>
            </w:pPr>
            <w:r>
              <w:rPr>
                <w:sz w:val="18"/>
                <w:szCs w:val="18"/>
              </w:rPr>
              <w:t>0,03</w:t>
            </w:r>
            <w:r w:rsidRPr="0051775B">
              <w:rPr>
                <w:rFonts w:cstheme="minorHAnsi"/>
                <w:sz w:val="18"/>
                <w:szCs w:val="18"/>
              </w:rPr>
              <w:t>±</w:t>
            </w:r>
            <w:r>
              <w:rPr>
                <w:rFonts w:cstheme="minorHAnsi"/>
                <w:sz w:val="18"/>
                <w:szCs w:val="18"/>
              </w:rPr>
              <w:t>0,34</w:t>
            </w:r>
          </w:p>
        </w:tc>
        <w:tc>
          <w:tcPr>
            <w:tcW w:w="597" w:type="pct"/>
          </w:tcPr>
          <w:p w:rsidR="00E659A9" w:rsidRPr="0051775B" w:rsidRDefault="00E659A9" w:rsidP="001731FC">
            <w:pPr>
              <w:jc w:val="center"/>
              <w:rPr>
                <w:sz w:val="18"/>
                <w:szCs w:val="18"/>
              </w:rPr>
            </w:pPr>
            <w:r>
              <w:rPr>
                <w:sz w:val="18"/>
                <w:szCs w:val="18"/>
              </w:rPr>
              <w:t>0,03</w:t>
            </w:r>
            <w:r w:rsidRPr="0051775B">
              <w:rPr>
                <w:rFonts w:cstheme="minorHAnsi"/>
                <w:sz w:val="18"/>
                <w:szCs w:val="18"/>
              </w:rPr>
              <w:t>±</w:t>
            </w:r>
            <w:r>
              <w:rPr>
                <w:rFonts w:cstheme="minorHAnsi"/>
                <w:sz w:val="18"/>
                <w:szCs w:val="18"/>
              </w:rPr>
              <w:t>033</w:t>
            </w:r>
          </w:p>
        </w:tc>
        <w:tc>
          <w:tcPr>
            <w:tcW w:w="597" w:type="pct"/>
          </w:tcPr>
          <w:p w:rsidR="00E659A9" w:rsidRPr="0051775B" w:rsidRDefault="00E659A9">
            <w:pPr>
              <w:jc w:val="center"/>
              <w:rPr>
                <w:sz w:val="18"/>
                <w:szCs w:val="18"/>
              </w:rPr>
            </w:pPr>
            <w:r>
              <w:rPr>
                <w:sz w:val="18"/>
                <w:szCs w:val="18"/>
              </w:rPr>
              <w:t>0,22</w:t>
            </w:r>
            <w:r w:rsidRPr="0051775B">
              <w:rPr>
                <w:rFonts w:cstheme="minorHAnsi"/>
                <w:sz w:val="18"/>
                <w:szCs w:val="18"/>
              </w:rPr>
              <w:t>±</w:t>
            </w:r>
            <w:r>
              <w:rPr>
                <w:rFonts w:cstheme="minorHAnsi"/>
                <w:sz w:val="18"/>
                <w:szCs w:val="18"/>
              </w:rPr>
              <w:t>0,58</w:t>
            </w:r>
          </w:p>
        </w:tc>
        <w:tc>
          <w:tcPr>
            <w:tcW w:w="597" w:type="pct"/>
          </w:tcPr>
          <w:p w:rsidR="00E659A9" w:rsidRPr="0051775B" w:rsidRDefault="00E659A9" w:rsidP="001731FC">
            <w:pPr>
              <w:jc w:val="center"/>
              <w:rPr>
                <w:sz w:val="18"/>
                <w:szCs w:val="18"/>
              </w:rPr>
            </w:pPr>
            <w:r>
              <w:rPr>
                <w:sz w:val="18"/>
                <w:szCs w:val="18"/>
              </w:rPr>
              <w:t>0,02</w:t>
            </w:r>
            <w:r w:rsidRPr="0051775B">
              <w:rPr>
                <w:rFonts w:cstheme="minorHAnsi"/>
                <w:sz w:val="18"/>
                <w:szCs w:val="18"/>
              </w:rPr>
              <w:t>±</w:t>
            </w:r>
            <w:r>
              <w:rPr>
                <w:rFonts w:cstheme="minorHAnsi"/>
                <w:sz w:val="18"/>
                <w:szCs w:val="18"/>
              </w:rPr>
              <w:t>0,32</w:t>
            </w:r>
          </w:p>
        </w:tc>
        <w:tc>
          <w:tcPr>
            <w:tcW w:w="597" w:type="pct"/>
          </w:tcPr>
          <w:p w:rsidR="00E659A9" w:rsidRPr="0051775B" w:rsidRDefault="00E659A9" w:rsidP="001731FC">
            <w:pPr>
              <w:jc w:val="center"/>
              <w:rPr>
                <w:sz w:val="18"/>
                <w:szCs w:val="18"/>
              </w:rPr>
            </w:pPr>
            <w:r>
              <w:rPr>
                <w:sz w:val="18"/>
                <w:szCs w:val="18"/>
              </w:rPr>
              <w:t>0,14</w:t>
            </w:r>
            <w:r w:rsidRPr="0051775B">
              <w:rPr>
                <w:rFonts w:cstheme="minorHAnsi"/>
                <w:sz w:val="18"/>
                <w:szCs w:val="18"/>
              </w:rPr>
              <w:t>±</w:t>
            </w:r>
            <w:r>
              <w:rPr>
                <w:rFonts w:cstheme="minorHAnsi"/>
                <w:sz w:val="18"/>
                <w:szCs w:val="18"/>
              </w:rPr>
              <w:t>0,48</w:t>
            </w:r>
          </w:p>
        </w:tc>
      </w:tr>
      <w:tr w:rsidR="00E659A9" w:rsidRPr="0051775B" w:rsidTr="00DF11CD">
        <w:tc>
          <w:tcPr>
            <w:tcW w:w="1565" w:type="pct"/>
          </w:tcPr>
          <w:p w:rsidR="00E659A9" w:rsidRPr="0051775B" w:rsidRDefault="00E659A9" w:rsidP="001731FC">
            <w:pPr>
              <w:rPr>
                <w:sz w:val="18"/>
                <w:szCs w:val="18"/>
              </w:rPr>
            </w:pPr>
          </w:p>
        </w:tc>
        <w:tc>
          <w:tcPr>
            <w:tcW w:w="1046" w:type="pct"/>
            <w:gridSpan w:val="2"/>
          </w:tcPr>
          <w:p w:rsidR="00E659A9" w:rsidRPr="0051775B" w:rsidRDefault="00E659A9" w:rsidP="001731FC">
            <w:pPr>
              <w:jc w:val="center"/>
              <w:rPr>
                <w:sz w:val="18"/>
                <w:szCs w:val="18"/>
              </w:rPr>
            </w:pPr>
            <w:r>
              <w:rPr>
                <w:sz w:val="18"/>
                <w:szCs w:val="18"/>
              </w:rPr>
              <w:t>P=0,650</w:t>
            </w:r>
          </w:p>
        </w:tc>
        <w:tc>
          <w:tcPr>
            <w:tcW w:w="1195" w:type="pct"/>
            <w:gridSpan w:val="2"/>
          </w:tcPr>
          <w:p w:rsidR="00E659A9" w:rsidRPr="0051775B" w:rsidRDefault="00E659A9" w:rsidP="001731FC">
            <w:pPr>
              <w:jc w:val="center"/>
              <w:rPr>
                <w:sz w:val="18"/>
                <w:szCs w:val="18"/>
              </w:rPr>
            </w:pPr>
            <w:r>
              <w:rPr>
                <w:sz w:val="18"/>
                <w:szCs w:val="18"/>
              </w:rPr>
              <w:t>P=0,221</w:t>
            </w:r>
          </w:p>
        </w:tc>
        <w:tc>
          <w:tcPr>
            <w:tcW w:w="1195" w:type="pct"/>
            <w:gridSpan w:val="2"/>
          </w:tcPr>
          <w:p w:rsidR="00E659A9" w:rsidRPr="0051775B" w:rsidRDefault="00E659A9" w:rsidP="001731FC">
            <w:pPr>
              <w:jc w:val="center"/>
              <w:rPr>
                <w:sz w:val="18"/>
                <w:szCs w:val="18"/>
              </w:rPr>
            </w:pPr>
            <w:r>
              <w:rPr>
                <w:sz w:val="18"/>
                <w:szCs w:val="18"/>
              </w:rPr>
              <w:t>P=0,125</w:t>
            </w:r>
          </w:p>
        </w:tc>
      </w:tr>
    </w:tbl>
    <w:p w:rsidR="0056631F" w:rsidRDefault="00E659A9" w:rsidP="0056631F">
      <w:pPr>
        <w:autoSpaceDE w:val="0"/>
        <w:autoSpaceDN w:val="0"/>
        <w:adjustRightInd w:val="0"/>
        <w:spacing w:after="0" w:line="240" w:lineRule="auto"/>
        <w:jc w:val="center"/>
        <w:rPr>
          <w:rFonts w:ascii="Times New Roman" w:hAnsi="Times New Roman" w:cs="Times New Roman"/>
          <w:sz w:val="24"/>
          <w:szCs w:val="24"/>
        </w:rPr>
      </w:pPr>
      <w:r w:rsidRPr="003F2DF5">
        <w:rPr>
          <w:rFonts w:ascii="Times New Roman" w:hAnsi="Times New Roman" w:cs="Times New Roman"/>
          <w:noProof/>
          <w:sz w:val="24"/>
          <w:szCs w:val="24"/>
          <w:lang w:eastAsia="tr-TR"/>
        </w:rPr>
        <w:lastRenderedPageBreak/>
        <w:drawing>
          <wp:inline distT="0" distB="0" distL="0" distR="0">
            <wp:extent cx="4673780" cy="1499191"/>
            <wp:effectExtent l="0" t="0" r="0"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lum bright="-20000" contrast="20000"/>
                      <a:extLst>
                        <a:ext uri="{28A0092B-C50C-407E-A947-70E740481C1C}">
                          <a14:useLocalDpi xmlns:a14="http://schemas.microsoft.com/office/drawing/2010/main" val="0"/>
                        </a:ext>
                      </a:extLst>
                    </a:blip>
                    <a:srcRect/>
                    <a:stretch>
                      <a:fillRect/>
                    </a:stretch>
                  </pic:blipFill>
                  <pic:spPr bwMode="auto">
                    <a:xfrm>
                      <a:off x="0" y="0"/>
                      <a:ext cx="4797358" cy="1538831"/>
                    </a:xfrm>
                    <a:prstGeom prst="rect">
                      <a:avLst/>
                    </a:prstGeom>
                    <a:noFill/>
                    <a:ln>
                      <a:noFill/>
                    </a:ln>
                  </pic:spPr>
                </pic:pic>
              </a:graphicData>
            </a:graphic>
          </wp:inline>
        </w:drawing>
      </w:r>
    </w:p>
    <w:p w:rsidR="0056631F" w:rsidRPr="00461F9A" w:rsidRDefault="0056631F" w:rsidP="0056631F">
      <w:pPr>
        <w:pStyle w:val="Resimler5"/>
        <w:spacing w:after="120"/>
        <w:jc w:val="center"/>
      </w:pPr>
      <w:bookmarkStart w:id="52" w:name="_Toc492677206"/>
      <w:r>
        <w:t xml:space="preserve">Resim </w:t>
      </w:r>
      <w:r w:rsidR="007259BF">
        <w:t>3.</w:t>
      </w:r>
      <w:r>
        <w:t>8a</w:t>
      </w:r>
      <w:r w:rsidR="006618EA">
        <w:t>.</w:t>
      </w:r>
      <w:r>
        <w:t xml:space="preserve"> </w:t>
      </w:r>
      <w:r w:rsidRPr="0056631F">
        <w:rPr>
          <w:b w:val="0"/>
        </w:rPr>
        <w:t>Ajite salin öncesi ve sonrası BHI değişimi I</w:t>
      </w:r>
      <w:bookmarkEnd w:id="52"/>
    </w:p>
    <w:p w:rsidR="00E659A9" w:rsidRDefault="00E659A9" w:rsidP="0056631F">
      <w:pPr>
        <w:pStyle w:val="Tablolar6"/>
        <w:spacing w:before="120"/>
      </w:pPr>
      <w:bookmarkStart w:id="53" w:name="_Toc492677372"/>
      <w:r w:rsidRPr="00833EE8">
        <w:t>Tablo</w:t>
      </w:r>
      <w:r w:rsidR="0056631F">
        <w:t xml:space="preserve"> </w:t>
      </w:r>
      <w:r w:rsidR="007259BF">
        <w:t>3.</w:t>
      </w:r>
      <w:r w:rsidRPr="00833EE8">
        <w:t>6</w:t>
      </w:r>
      <w:r>
        <w:t>b</w:t>
      </w:r>
      <w:r w:rsidR="0056631F">
        <w:t>.</w:t>
      </w:r>
      <w:r>
        <w:t xml:space="preserve"> </w:t>
      </w:r>
      <w:r w:rsidRPr="0056631F">
        <w:rPr>
          <w:b w:val="0"/>
        </w:rPr>
        <w:t>Ajite salinin BHİ’ne etkisi II</w:t>
      </w:r>
      <w:bookmarkEnd w:id="53"/>
    </w:p>
    <w:tbl>
      <w:tblPr>
        <w:tblStyle w:val="TabloKlavuzu"/>
        <w:tblW w:w="5000" w:type="pct"/>
        <w:tblLook w:val="04A0" w:firstRow="1" w:lastRow="0" w:firstColumn="1" w:lastColumn="0" w:noHBand="0" w:noVBand="1"/>
      </w:tblPr>
      <w:tblGrid>
        <w:gridCol w:w="4206"/>
        <w:gridCol w:w="1403"/>
        <w:gridCol w:w="1405"/>
        <w:gridCol w:w="1603"/>
        <w:gridCol w:w="1603"/>
        <w:gridCol w:w="1603"/>
        <w:gridCol w:w="1603"/>
      </w:tblGrid>
      <w:tr w:rsidR="00E659A9" w:rsidRPr="00BB6E28" w:rsidTr="0056631F">
        <w:tc>
          <w:tcPr>
            <w:tcW w:w="1565" w:type="pct"/>
            <w:shd w:val="clear" w:color="auto" w:fill="F2F2F2" w:themeFill="background1" w:themeFillShade="F2"/>
          </w:tcPr>
          <w:p w:rsidR="00E659A9" w:rsidRPr="00461F9A" w:rsidRDefault="00E659A9" w:rsidP="001731FC">
            <w:pPr>
              <w:rPr>
                <w:b/>
                <w:sz w:val="18"/>
                <w:szCs w:val="18"/>
              </w:rPr>
            </w:pPr>
            <w:r w:rsidRPr="00461F9A">
              <w:rPr>
                <w:b/>
                <w:sz w:val="18"/>
                <w:szCs w:val="18"/>
              </w:rPr>
              <w:t>Grup</w:t>
            </w:r>
          </w:p>
        </w:tc>
        <w:tc>
          <w:tcPr>
            <w:tcW w:w="522"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23"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2</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3</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4</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5</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6</w:t>
            </w:r>
          </w:p>
        </w:tc>
      </w:tr>
      <w:tr w:rsidR="00E659A9" w:rsidRPr="00BB6E28" w:rsidTr="0056631F">
        <w:tc>
          <w:tcPr>
            <w:tcW w:w="1565" w:type="pct"/>
            <w:shd w:val="clear" w:color="auto" w:fill="F2F2F2" w:themeFill="background1" w:themeFillShade="F2"/>
          </w:tcPr>
          <w:p w:rsidR="00E659A9" w:rsidRPr="00461F9A" w:rsidRDefault="00E659A9" w:rsidP="001731FC">
            <w:pPr>
              <w:rPr>
                <w:b/>
                <w:sz w:val="18"/>
                <w:szCs w:val="18"/>
              </w:rPr>
            </w:pPr>
            <w:r w:rsidRPr="00461F9A">
              <w:rPr>
                <w:b/>
                <w:sz w:val="18"/>
                <w:szCs w:val="18"/>
              </w:rPr>
              <w:t>Migren</w:t>
            </w:r>
          </w:p>
        </w:tc>
        <w:tc>
          <w:tcPr>
            <w:tcW w:w="522"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23"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r>
      <w:tr w:rsidR="00E659A9" w:rsidRPr="00BB6E28" w:rsidTr="0056631F">
        <w:tc>
          <w:tcPr>
            <w:tcW w:w="1565" w:type="pct"/>
            <w:shd w:val="clear" w:color="auto" w:fill="F2F2F2" w:themeFill="background1" w:themeFillShade="F2"/>
          </w:tcPr>
          <w:p w:rsidR="00E659A9" w:rsidRPr="00461F9A" w:rsidRDefault="00E659A9" w:rsidP="001731FC">
            <w:pPr>
              <w:rPr>
                <w:b/>
                <w:sz w:val="18"/>
                <w:szCs w:val="18"/>
              </w:rPr>
            </w:pPr>
            <w:r w:rsidRPr="00461F9A">
              <w:rPr>
                <w:b/>
                <w:sz w:val="18"/>
                <w:szCs w:val="18"/>
              </w:rPr>
              <w:t>Aura</w:t>
            </w:r>
          </w:p>
        </w:tc>
        <w:tc>
          <w:tcPr>
            <w:tcW w:w="522"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23"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r>
      <w:tr w:rsidR="00E659A9" w:rsidRPr="00BB6E28" w:rsidTr="0056631F">
        <w:tc>
          <w:tcPr>
            <w:tcW w:w="1565" w:type="pct"/>
            <w:shd w:val="clear" w:color="auto" w:fill="F2F2F2" w:themeFill="background1" w:themeFillShade="F2"/>
          </w:tcPr>
          <w:p w:rsidR="00E659A9" w:rsidRPr="00461F9A" w:rsidRDefault="00E659A9" w:rsidP="001731FC">
            <w:pPr>
              <w:rPr>
                <w:b/>
                <w:sz w:val="18"/>
                <w:szCs w:val="18"/>
              </w:rPr>
            </w:pPr>
            <w:r w:rsidRPr="00461F9A">
              <w:rPr>
                <w:b/>
                <w:sz w:val="18"/>
                <w:szCs w:val="18"/>
              </w:rPr>
              <w:t>PFO</w:t>
            </w:r>
          </w:p>
        </w:tc>
        <w:tc>
          <w:tcPr>
            <w:tcW w:w="522"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23"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0</w:t>
            </w:r>
          </w:p>
        </w:tc>
        <w:tc>
          <w:tcPr>
            <w:tcW w:w="597" w:type="pct"/>
            <w:shd w:val="clear" w:color="auto" w:fill="F2F2F2" w:themeFill="background1" w:themeFillShade="F2"/>
          </w:tcPr>
          <w:p w:rsidR="00E659A9" w:rsidRPr="00461F9A" w:rsidRDefault="00E659A9" w:rsidP="001731FC">
            <w:pPr>
              <w:jc w:val="center"/>
              <w:rPr>
                <w:b/>
                <w:sz w:val="18"/>
                <w:szCs w:val="18"/>
              </w:rPr>
            </w:pPr>
            <w:r w:rsidRPr="00461F9A">
              <w:rPr>
                <w:b/>
                <w:sz w:val="18"/>
                <w:szCs w:val="18"/>
              </w:rPr>
              <w:t>1</w:t>
            </w:r>
          </w:p>
        </w:tc>
      </w:tr>
      <w:tr w:rsidR="00E659A9" w:rsidRPr="0051775B" w:rsidTr="0056631F">
        <w:tc>
          <w:tcPr>
            <w:tcW w:w="1565" w:type="pct"/>
          </w:tcPr>
          <w:p w:rsidR="00E659A9" w:rsidRPr="0051775B" w:rsidRDefault="00E659A9" w:rsidP="001731FC">
            <w:pPr>
              <w:rPr>
                <w:sz w:val="18"/>
                <w:szCs w:val="18"/>
              </w:rPr>
            </w:pPr>
            <w:r w:rsidRPr="0051775B">
              <w:rPr>
                <w:sz w:val="18"/>
                <w:szCs w:val="18"/>
              </w:rPr>
              <w:t>N</w:t>
            </w:r>
          </w:p>
        </w:tc>
        <w:tc>
          <w:tcPr>
            <w:tcW w:w="522" w:type="pct"/>
          </w:tcPr>
          <w:p w:rsidR="00E659A9" w:rsidRPr="0051775B" w:rsidRDefault="00E659A9" w:rsidP="001731FC">
            <w:pPr>
              <w:jc w:val="center"/>
              <w:rPr>
                <w:sz w:val="18"/>
                <w:szCs w:val="18"/>
              </w:rPr>
            </w:pPr>
            <w:r w:rsidRPr="0051775B">
              <w:rPr>
                <w:sz w:val="18"/>
                <w:szCs w:val="18"/>
              </w:rPr>
              <w:t>10</w:t>
            </w:r>
          </w:p>
        </w:tc>
        <w:tc>
          <w:tcPr>
            <w:tcW w:w="523" w:type="pct"/>
          </w:tcPr>
          <w:p w:rsidR="00E659A9" w:rsidRPr="0051775B" w:rsidRDefault="00E659A9" w:rsidP="001731FC">
            <w:pPr>
              <w:jc w:val="center"/>
              <w:rPr>
                <w:sz w:val="18"/>
                <w:szCs w:val="18"/>
              </w:rPr>
            </w:pPr>
            <w:r w:rsidRPr="0051775B">
              <w:rPr>
                <w:sz w:val="18"/>
                <w:szCs w:val="18"/>
              </w:rPr>
              <w:t>8</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r>
      <w:tr w:rsidR="00E659A9" w:rsidRPr="0051775B" w:rsidTr="0056631F">
        <w:tc>
          <w:tcPr>
            <w:tcW w:w="1565" w:type="pct"/>
          </w:tcPr>
          <w:p w:rsidR="00E659A9" w:rsidRPr="0051775B" w:rsidRDefault="00E659A9" w:rsidP="001731FC">
            <w:pPr>
              <w:rPr>
                <w:sz w:val="18"/>
                <w:szCs w:val="18"/>
              </w:rPr>
            </w:pPr>
            <w:r w:rsidRPr="0051775B">
              <w:rPr>
                <w:sz w:val="18"/>
                <w:szCs w:val="18"/>
              </w:rPr>
              <w:t>PRE-BUBBLE BHI PCA all</w:t>
            </w:r>
          </w:p>
        </w:tc>
        <w:tc>
          <w:tcPr>
            <w:tcW w:w="522" w:type="pct"/>
          </w:tcPr>
          <w:p w:rsidR="00E659A9" w:rsidRPr="0051775B" w:rsidRDefault="00E659A9" w:rsidP="001731FC">
            <w:pPr>
              <w:jc w:val="center"/>
              <w:rPr>
                <w:sz w:val="18"/>
                <w:szCs w:val="18"/>
              </w:rPr>
            </w:pPr>
            <w:r w:rsidRPr="0051775B">
              <w:rPr>
                <w:rFonts w:cstheme="minorHAnsi"/>
                <w:sz w:val="18"/>
                <w:szCs w:val="18"/>
              </w:rPr>
              <w:t>0,95±0,24</w:t>
            </w:r>
          </w:p>
        </w:tc>
        <w:tc>
          <w:tcPr>
            <w:tcW w:w="523" w:type="pct"/>
          </w:tcPr>
          <w:p w:rsidR="00E659A9" w:rsidRPr="0051775B" w:rsidRDefault="00E659A9" w:rsidP="001731FC">
            <w:pPr>
              <w:jc w:val="center"/>
              <w:rPr>
                <w:sz w:val="18"/>
                <w:szCs w:val="18"/>
              </w:rPr>
            </w:pPr>
            <w:r w:rsidRPr="0051775B">
              <w:rPr>
                <w:rFonts w:cstheme="minorHAnsi"/>
                <w:sz w:val="18"/>
                <w:szCs w:val="18"/>
              </w:rPr>
              <w:t>1,07±0,43</w:t>
            </w:r>
          </w:p>
        </w:tc>
        <w:tc>
          <w:tcPr>
            <w:tcW w:w="597" w:type="pct"/>
          </w:tcPr>
          <w:p w:rsidR="00E659A9" w:rsidRPr="006767C2" w:rsidRDefault="00E659A9" w:rsidP="001731FC">
            <w:pPr>
              <w:jc w:val="center"/>
              <w:rPr>
                <w:sz w:val="18"/>
                <w:szCs w:val="18"/>
              </w:rPr>
            </w:pPr>
            <w:r w:rsidRPr="006767C2">
              <w:rPr>
                <w:rFonts w:cstheme="minorHAnsi"/>
                <w:sz w:val="18"/>
                <w:szCs w:val="18"/>
              </w:rPr>
              <w:t>1,23±0,40</w:t>
            </w:r>
          </w:p>
        </w:tc>
        <w:tc>
          <w:tcPr>
            <w:tcW w:w="597" w:type="pct"/>
          </w:tcPr>
          <w:p w:rsidR="00E659A9" w:rsidRPr="006767C2" w:rsidRDefault="00E659A9" w:rsidP="001731FC">
            <w:pPr>
              <w:jc w:val="center"/>
              <w:rPr>
                <w:sz w:val="18"/>
                <w:szCs w:val="18"/>
              </w:rPr>
            </w:pPr>
            <w:r w:rsidRPr="006767C2">
              <w:rPr>
                <w:rFonts w:cstheme="minorHAnsi"/>
                <w:sz w:val="18"/>
                <w:szCs w:val="18"/>
              </w:rPr>
              <w:t>0,96±0,50</w:t>
            </w:r>
          </w:p>
        </w:tc>
        <w:tc>
          <w:tcPr>
            <w:tcW w:w="597" w:type="pct"/>
          </w:tcPr>
          <w:p w:rsidR="00E659A9" w:rsidRPr="0051775B" w:rsidRDefault="00E659A9" w:rsidP="001731FC">
            <w:pPr>
              <w:jc w:val="center"/>
              <w:rPr>
                <w:sz w:val="18"/>
                <w:szCs w:val="18"/>
              </w:rPr>
            </w:pPr>
            <w:r w:rsidRPr="0051775B">
              <w:rPr>
                <w:rFonts w:cstheme="minorHAnsi"/>
                <w:sz w:val="18"/>
                <w:szCs w:val="18"/>
              </w:rPr>
              <w:t>1,27±0,53</w:t>
            </w:r>
          </w:p>
        </w:tc>
        <w:tc>
          <w:tcPr>
            <w:tcW w:w="597" w:type="pct"/>
          </w:tcPr>
          <w:p w:rsidR="00E659A9" w:rsidRPr="0051775B" w:rsidRDefault="00E659A9" w:rsidP="001731FC">
            <w:pPr>
              <w:jc w:val="center"/>
              <w:rPr>
                <w:sz w:val="18"/>
                <w:szCs w:val="18"/>
              </w:rPr>
            </w:pPr>
            <w:r w:rsidRPr="0051775B">
              <w:rPr>
                <w:rFonts w:cstheme="minorHAnsi"/>
                <w:sz w:val="18"/>
                <w:szCs w:val="18"/>
              </w:rPr>
              <w:t>1,05±0,28</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PCA all</w:t>
            </w:r>
          </w:p>
        </w:tc>
        <w:tc>
          <w:tcPr>
            <w:tcW w:w="522" w:type="pct"/>
          </w:tcPr>
          <w:p w:rsidR="00E659A9" w:rsidRPr="0051775B" w:rsidRDefault="00E659A9" w:rsidP="001731FC">
            <w:pPr>
              <w:jc w:val="center"/>
              <w:rPr>
                <w:sz w:val="18"/>
                <w:szCs w:val="18"/>
              </w:rPr>
            </w:pPr>
            <w:r w:rsidRPr="0051775B">
              <w:rPr>
                <w:rFonts w:cstheme="minorHAnsi"/>
                <w:sz w:val="18"/>
                <w:szCs w:val="18"/>
              </w:rPr>
              <w:t>0,76±0,43</w:t>
            </w:r>
          </w:p>
        </w:tc>
        <w:tc>
          <w:tcPr>
            <w:tcW w:w="523" w:type="pct"/>
          </w:tcPr>
          <w:p w:rsidR="00E659A9" w:rsidRPr="0051775B" w:rsidRDefault="00E659A9" w:rsidP="001731FC">
            <w:pPr>
              <w:jc w:val="center"/>
              <w:rPr>
                <w:sz w:val="18"/>
                <w:szCs w:val="18"/>
              </w:rPr>
            </w:pPr>
            <w:r w:rsidRPr="0051775B">
              <w:rPr>
                <w:rFonts w:cstheme="minorHAnsi"/>
                <w:sz w:val="18"/>
                <w:szCs w:val="18"/>
              </w:rPr>
              <w:t>0,82±0,28</w:t>
            </w:r>
          </w:p>
        </w:tc>
        <w:tc>
          <w:tcPr>
            <w:tcW w:w="597" w:type="pct"/>
          </w:tcPr>
          <w:p w:rsidR="00E659A9" w:rsidRPr="006767C2" w:rsidRDefault="00E659A9" w:rsidP="001731FC">
            <w:pPr>
              <w:jc w:val="center"/>
              <w:rPr>
                <w:sz w:val="18"/>
                <w:szCs w:val="18"/>
              </w:rPr>
            </w:pPr>
            <w:r w:rsidRPr="006767C2">
              <w:rPr>
                <w:rFonts w:cstheme="minorHAnsi"/>
                <w:sz w:val="18"/>
                <w:szCs w:val="18"/>
              </w:rPr>
              <w:t>0,94±0,36</w:t>
            </w:r>
          </w:p>
        </w:tc>
        <w:tc>
          <w:tcPr>
            <w:tcW w:w="597" w:type="pct"/>
          </w:tcPr>
          <w:p w:rsidR="00E659A9" w:rsidRPr="006767C2" w:rsidRDefault="00E659A9" w:rsidP="001731FC">
            <w:pPr>
              <w:jc w:val="center"/>
              <w:rPr>
                <w:sz w:val="18"/>
                <w:szCs w:val="18"/>
              </w:rPr>
            </w:pPr>
            <w:r w:rsidRPr="006767C2">
              <w:rPr>
                <w:rFonts w:cstheme="minorHAnsi"/>
                <w:sz w:val="18"/>
                <w:szCs w:val="18"/>
              </w:rPr>
              <w:t>0,67±0,29</w:t>
            </w:r>
          </w:p>
        </w:tc>
        <w:tc>
          <w:tcPr>
            <w:tcW w:w="597" w:type="pct"/>
          </w:tcPr>
          <w:p w:rsidR="00E659A9" w:rsidRPr="0051775B" w:rsidRDefault="00E659A9" w:rsidP="001731FC">
            <w:pPr>
              <w:jc w:val="center"/>
              <w:rPr>
                <w:sz w:val="18"/>
                <w:szCs w:val="18"/>
              </w:rPr>
            </w:pPr>
            <w:r w:rsidRPr="0051775B">
              <w:rPr>
                <w:rFonts w:cstheme="minorHAnsi"/>
                <w:sz w:val="18"/>
                <w:szCs w:val="18"/>
              </w:rPr>
              <w:t>1,04±0,56</w:t>
            </w:r>
          </w:p>
        </w:tc>
        <w:tc>
          <w:tcPr>
            <w:tcW w:w="597" w:type="pct"/>
          </w:tcPr>
          <w:p w:rsidR="00E659A9" w:rsidRPr="0051775B" w:rsidRDefault="00E659A9" w:rsidP="001731FC">
            <w:pPr>
              <w:jc w:val="center"/>
              <w:rPr>
                <w:sz w:val="18"/>
                <w:szCs w:val="18"/>
              </w:rPr>
            </w:pPr>
            <w:r w:rsidRPr="0051775B">
              <w:rPr>
                <w:rFonts w:cstheme="minorHAnsi"/>
                <w:sz w:val="18"/>
                <w:szCs w:val="18"/>
              </w:rPr>
              <w:t>0,86±0,52</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0,220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0,176</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0,060</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0,069</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0,280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0,213</w:t>
            </w:r>
          </w:p>
        </w:tc>
      </w:tr>
      <w:tr w:rsidR="00E659A9" w:rsidRPr="0051775B" w:rsidTr="0056631F">
        <w:tc>
          <w:tcPr>
            <w:tcW w:w="1565" w:type="pct"/>
          </w:tcPr>
          <w:p w:rsidR="00E659A9" w:rsidRPr="0051775B" w:rsidRDefault="00E659A9" w:rsidP="001731FC">
            <w:pPr>
              <w:rPr>
                <w:sz w:val="18"/>
                <w:szCs w:val="18"/>
              </w:rPr>
            </w:pPr>
            <w:r w:rsidRPr="0051775B">
              <w:rPr>
                <w:sz w:val="18"/>
                <w:szCs w:val="18"/>
              </w:rPr>
              <w:t>PRE-BUBBLE BHI PCA ipsilateral</w:t>
            </w:r>
          </w:p>
        </w:tc>
        <w:tc>
          <w:tcPr>
            <w:tcW w:w="522" w:type="pct"/>
          </w:tcPr>
          <w:p w:rsidR="00E659A9" w:rsidRPr="0051775B" w:rsidRDefault="00E659A9" w:rsidP="001731FC">
            <w:pPr>
              <w:jc w:val="center"/>
              <w:rPr>
                <w:sz w:val="18"/>
                <w:szCs w:val="18"/>
              </w:rPr>
            </w:pPr>
            <w:r w:rsidRPr="0051775B">
              <w:rPr>
                <w:rFonts w:cstheme="minorHAnsi"/>
                <w:sz w:val="18"/>
                <w:szCs w:val="18"/>
              </w:rPr>
              <w:t>0,93±0,28</w:t>
            </w:r>
          </w:p>
        </w:tc>
        <w:tc>
          <w:tcPr>
            <w:tcW w:w="523" w:type="pct"/>
          </w:tcPr>
          <w:p w:rsidR="00E659A9" w:rsidRPr="0051775B" w:rsidRDefault="00E659A9" w:rsidP="001731FC">
            <w:pPr>
              <w:jc w:val="center"/>
              <w:rPr>
                <w:sz w:val="18"/>
                <w:szCs w:val="18"/>
              </w:rPr>
            </w:pPr>
            <w:r w:rsidRPr="0051775B">
              <w:rPr>
                <w:rFonts w:cstheme="minorHAnsi"/>
                <w:sz w:val="18"/>
                <w:szCs w:val="18"/>
              </w:rPr>
              <w:t>1,15±0,56</w:t>
            </w:r>
          </w:p>
        </w:tc>
        <w:tc>
          <w:tcPr>
            <w:tcW w:w="597" w:type="pct"/>
          </w:tcPr>
          <w:p w:rsidR="00E659A9" w:rsidRPr="006767C2" w:rsidRDefault="00E659A9" w:rsidP="001731FC">
            <w:pPr>
              <w:jc w:val="center"/>
              <w:rPr>
                <w:sz w:val="18"/>
                <w:szCs w:val="18"/>
              </w:rPr>
            </w:pPr>
            <w:r w:rsidRPr="006767C2">
              <w:rPr>
                <w:rFonts w:cstheme="minorHAnsi"/>
                <w:sz w:val="18"/>
                <w:szCs w:val="18"/>
              </w:rPr>
              <w:t>1,20±0,43</w:t>
            </w:r>
          </w:p>
        </w:tc>
        <w:tc>
          <w:tcPr>
            <w:tcW w:w="597" w:type="pct"/>
          </w:tcPr>
          <w:p w:rsidR="00E659A9" w:rsidRPr="006767C2" w:rsidRDefault="00E659A9" w:rsidP="001731FC">
            <w:pPr>
              <w:jc w:val="center"/>
              <w:rPr>
                <w:sz w:val="18"/>
                <w:szCs w:val="18"/>
              </w:rPr>
            </w:pPr>
            <w:r w:rsidRPr="006767C2">
              <w:rPr>
                <w:rFonts w:cstheme="minorHAnsi"/>
                <w:sz w:val="18"/>
                <w:szCs w:val="18"/>
              </w:rPr>
              <w:t>0.99±0,56</w:t>
            </w:r>
          </w:p>
        </w:tc>
        <w:tc>
          <w:tcPr>
            <w:tcW w:w="597" w:type="pct"/>
          </w:tcPr>
          <w:p w:rsidR="00E659A9" w:rsidRPr="0051775B" w:rsidRDefault="00E659A9" w:rsidP="001731FC">
            <w:pPr>
              <w:jc w:val="center"/>
              <w:rPr>
                <w:sz w:val="18"/>
                <w:szCs w:val="18"/>
              </w:rPr>
            </w:pPr>
            <w:r w:rsidRPr="0051775B">
              <w:rPr>
                <w:rFonts w:cstheme="minorHAnsi"/>
                <w:sz w:val="18"/>
                <w:szCs w:val="18"/>
              </w:rPr>
              <w:t>1,23±0,48</w:t>
            </w:r>
          </w:p>
        </w:tc>
        <w:tc>
          <w:tcPr>
            <w:tcW w:w="597" w:type="pct"/>
          </w:tcPr>
          <w:p w:rsidR="00E659A9" w:rsidRPr="0051775B" w:rsidRDefault="00E659A9" w:rsidP="001731FC">
            <w:pPr>
              <w:jc w:val="center"/>
              <w:rPr>
                <w:sz w:val="18"/>
                <w:szCs w:val="18"/>
              </w:rPr>
            </w:pPr>
            <w:r w:rsidRPr="0051775B">
              <w:rPr>
                <w:rFonts w:cstheme="minorHAnsi"/>
                <w:sz w:val="18"/>
                <w:szCs w:val="18"/>
              </w:rPr>
              <w:t>0,93±0,25</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PCA ipsilateral</w:t>
            </w:r>
          </w:p>
        </w:tc>
        <w:tc>
          <w:tcPr>
            <w:tcW w:w="522" w:type="pct"/>
          </w:tcPr>
          <w:p w:rsidR="00E659A9" w:rsidRPr="0051775B" w:rsidRDefault="00E659A9" w:rsidP="001731FC">
            <w:pPr>
              <w:jc w:val="center"/>
              <w:rPr>
                <w:sz w:val="18"/>
                <w:szCs w:val="18"/>
              </w:rPr>
            </w:pPr>
            <w:r w:rsidRPr="0051775B">
              <w:rPr>
                <w:rFonts w:cstheme="minorHAnsi"/>
                <w:sz w:val="18"/>
                <w:szCs w:val="18"/>
              </w:rPr>
              <w:t>0,77±0,48</w:t>
            </w:r>
          </w:p>
        </w:tc>
        <w:tc>
          <w:tcPr>
            <w:tcW w:w="523" w:type="pct"/>
          </w:tcPr>
          <w:p w:rsidR="00E659A9" w:rsidRPr="0051775B" w:rsidRDefault="00E659A9" w:rsidP="001731FC">
            <w:pPr>
              <w:jc w:val="center"/>
              <w:rPr>
                <w:sz w:val="18"/>
                <w:szCs w:val="18"/>
              </w:rPr>
            </w:pPr>
            <w:r w:rsidRPr="0051775B">
              <w:rPr>
                <w:rFonts w:cstheme="minorHAnsi"/>
                <w:sz w:val="18"/>
                <w:szCs w:val="18"/>
              </w:rPr>
              <w:t>0,78±0,29</w:t>
            </w:r>
          </w:p>
        </w:tc>
        <w:tc>
          <w:tcPr>
            <w:tcW w:w="597" w:type="pct"/>
          </w:tcPr>
          <w:p w:rsidR="00E659A9" w:rsidRPr="006767C2" w:rsidRDefault="00E659A9" w:rsidP="001731FC">
            <w:pPr>
              <w:jc w:val="center"/>
              <w:rPr>
                <w:sz w:val="18"/>
                <w:szCs w:val="18"/>
              </w:rPr>
            </w:pPr>
            <w:r w:rsidRPr="006767C2">
              <w:rPr>
                <w:rFonts w:cstheme="minorHAnsi"/>
                <w:sz w:val="18"/>
                <w:szCs w:val="18"/>
              </w:rPr>
              <w:t>1,01±0,32</w:t>
            </w:r>
          </w:p>
        </w:tc>
        <w:tc>
          <w:tcPr>
            <w:tcW w:w="597" w:type="pct"/>
          </w:tcPr>
          <w:p w:rsidR="00E659A9" w:rsidRPr="006767C2" w:rsidRDefault="00E659A9" w:rsidP="001731FC">
            <w:pPr>
              <w:jc w:val="center"/>
              <w:rPr>
                <w:sz w:val="18"/>
                <w:szCs w:val="18"/>
              </w:rPr>
            </w:pPr>
            <w:r w:rsidRPr="006767C2">
              <w:rPr>
                <w:rFonts w:cstheme="minorHAnsi"/>
                <w:sz w:val="18"/>
                <w:szCs w:val="18"/>
              </w:rPr>
              <w:t>0,68±0,34</w:t>
            </w:r>
          </w:p>
        </w:tc>
        <w:tc>
          <w:tcPr>
            <w:tcW w:w="597" w:type="pct"/>
          </w:tcPr>
          <w:p w:rsidR="00E659A9" w:rsidRPr="0051775B" w:rsidRDefault="00E659A9" w:rsidP="001731FC">
            <w:pPr>
              <w:jc w:val="center"/>
              <w:rPr>
                <w:sz w:val="18"/>
                <w:szCs w:val="18"/>
              </w:rPr>
            </w:pPr>
            <w:r w:rsidRPr="0051775B">
              <w:rPr>
                <w:rFonts w:cstheme="minorHAnsi"/>
                <w:sz w:val="18"/>
                <w:szCs w:val="18"/>
              </w:rPr>
              <w:t>1,07±0,65</w:t>
            </w:r>
          </w:p>
        </w:tc>
        <w:tc>
          <w:tcPr>
            <w:tcW w:w="597" w:type="pct"/>
          </w:tcPr>
          <w:p w:rsidR="00E659A9" w:rsidRPr="0051775B" w:rsidRDefault="00E659A9" w:rsidP="001731FC">
            <w:pPr>
              <w:jc w:val="center"/>
              <w:rPr>
                <w:sz w:val="18"/>
                <w:szCs w:val="18"/>
              </w:rPr>
            </w:pPr>
            <w:r w:rsidRPr="0051775B">
              <w:rPr>
                <w:rFonts w:cstheme="minorHAnsi"/>
                <w:sz w:val="18"/>
                <w:szCs w:val="18"/>
              </w:rPr>
              <w:t>0,93±0,63</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0,455</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0,172</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0,146</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0.075</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0.387</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0,996</w:t>
            </w:r>
          </w:p>
        </w:tc>
      </w:tr>
      <w:tr w:rsidR="00E659A9" w:rsidRPr="0051775B" w:rsidTr="0056631F">
        <w:tc>
          <w:tcPr>
            <w:tcW w:w="1565" w:type="pct"/>
          </w:tcPr>
          <w:p w:rsidR="00E659A9" w:rsidRPr="0051775B" w:rsidRDefault="00E659A9" w:rsidP="001731FC">
            <w:pPr>
              <w:rPr>
                <w:sz w:val="18"/>
                <w:szCs w:val="18"/>
              </w:rPr>
            </w:pPr>
            <w:r w:rsidRPr="0051775B">
              <w:rPr>
                <w:sz w:val="18"/>
                <w:szCs w:val="18"/>
              </w:rPr>
              <w:t>PRE-BUBBLE BHI PCA contrlateral</w:t>
            </w:r>
          </w:p>
        </w:tc>
        <w:tc>
          <w:tcPr>
            <w:tcW w:w="522" w:type="pct"/>
          </w:tcPr>
          <w:p w:rsidR="00E659A9" w:rsidRPr="0051775B" w:rsidRDefault="00E659A9" w:rsidP="001731FC">
            <w:pPr>
              <w:jc w:val="center"/>
              <w:rPr>
                <w:sz w:val="18"/>
                <w:szCs w:val="18"/>
              </w:rPr>
            </w:pPr>
            <w:r w:rsidRPr="0051775B">
              <w:rPr>
                <w:rFonts w:cstheme="minorHAnsi"/>
                <w:sz w:val="18"/>
                <w:szCs w:val="18"/>
              </w:rPr>
              <w:t>0,98±0,29</w:t>
            </w:r>
          </w:p>
        </w:tc>
        <w:tc>
          <w:tcPr>
            <w:tcW w:w="523" w:type="pct"/>
          </w:tcPr>
          <w:p w:rsidR="00E659A9" w:rsidRPr="0051775B" w:rsidRDefault="00E659A9" w:rsidP="001731FC">
            <w:pPr>
              <w:jc w:val="center"/>
              <w:rPr>
                <w:sz w:val="18"/>
                <w:szCs w:val="18"/>
              </w:rPr>
            </w:pPr>
            <w:r w:rsidRPr="0051775B">
              <w:rPr>
                <w:rFonts w:cstheme="minorHAnsi"/>
                <w:sz w:val="18"/>
                <w:szCs w:val="18"/>
              </w:rPr>
              <w:t>0,98±0,37</w:t>
            </w:r>
          </w:p>
        </w:tc>
        <w:tc>
          <w:tcPr>
            <w:tcW w:w="597" w:type="pct"/>
          </w:tcPr>
          <w:p w:rsidR="00E659A9" w:rsidRPr="006767C2" w:rsidRDefault="00E659A9" w:rsidP="001731FC">
            <w:pPr>
              <w:jc w:val="center"/>
              <w:rPr>
                <w:sz w:val="18"/>
                <w:szCs w:val="18"/>
              </w:rPr>
            </w:pPr>
            <w:r w:rsidRPr="006767C2">
              <w:rPr>
                <w:rFonts w:cstheme="minorHAnsi"/>
                <w:sz w:val="18"/>
                <w:szCs w:val="18"/>
              </w:rPr>
              <w:t>1,23±0,42</w:t>
            </w:r>
          </w:p>
        </w:tc>
        <w:tc>
          <w:tcPr>
            <w:tcW w:w="597" w:type="pct"/>
          </w:tcPr>
          <w:p w:rsidR="00E659A9" w:rsidRPr="006767C2" w:rsidRDefault="00E659A9" w:rsidP="001731FC">
            <w:pPr>
              <w:jc w:val="center"/>
              <w:rPr>
                <w:sz w:val="18"/>
                <w:szCs w:val="18"/>
              </w:rPr>
            </w:pPr>
            <w:r w:rsidRPr="006767C2">
              <w:rPr>
                <w:rFonts w:cstheme="minorHAnsi"/>
                <w:sz w:val="18"/>
                <w:szCs w:val="18"/>
              </w:rPr>
              <w:t>0,94±0,51</w:t>
            </w:r>
          </w:p>
        </w:tc>
        <w:tc>
          <w:tcPr>
            <w:tcW w:w="597" w:type="pct"/>
          </w:tcPr>
          <w:p w:rsidR="00E659A9" w:rsidRPr="0051775B" w:rsidRDefault="00E659A9" w:rsidP="001731FC">
            <w:pPr>
              <w:jc w:val="center"/>
              <w:rPr>
                <w:sz w:val="18"/>
                <w:szCs w:val="18"/>
              </w:rPr>
            </w:pPr>
            <w:r w:rsidRPr="0051775B">
              <w:rPr>
                <w:rFonts w:cstheme="minorHAnsi"/>
                <w:sz w:val="18"/>
                <w:szCs w:val="18"/>
              </w:rPr>
              <w:t>1,31±0,63</w:t>
            </w:r>
          </w:p>
        </w:tc>
        <w:tc>
          <w:tcPr>
            <w:tcW w:w="597" w:type="pct"/>
          </w:tcPr>
          <w:p w:rsidR="00E659A9" w:rsidRPr="0051775B" w:rsidRDefault="00E659A9" w:rsidP="001731FC">
            <w:pPr>
              <w:jc w:val="center"/>
              <w:rPr>
                <w:sz w:val="18"/>
                <w:szCs w:val="18"/>
              </w:rPr>
            </w:pPr>
            <w:r w:rsidRPr="0051775B">
              <w:rPr>
                <w:rFonts w:cstheme="minorHAnsi"/>
                <w:sz w:val="18"/>
                <w:szCs w:val="18"/>
              </w:rPr>
              <w:t>1,17±0,38</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PCA contrlateral</w:t>
            </w:r>
          </w:p>
        </w:tc>
        <w:tc>
          <w:tcPr>
            <w:tcW w:w="522" w:type="pct"/>
          </w:tcPr>
          <w:p w:rsidR="00E659A9" w:rsidRPr="0051775B" w:rsidRDefault="00E659A9" w:rsidP="001731FC">
            <w:pPr>
              <w:jc w:val="center"/>
              <w:rPr>
                <w:sz w:val="18"/>
                <w:szCs w:val="18"/>
              </w:rPr>
            </w:pPr>
            <w:r w:rsidRPr="0051775B">
              <w:rPr>
                <w:rFonts w:cstheme="minorHAnsi"/>
                <w:sz w:val="18"/>
                <w:szCs w:val="18"/>
              </w:rPr>
              <w:t>0,75±0.43</w:t>
            </w:r>
          </w:p>
        </w:tc>
        <w:tc>
          <w:tcPr>
            <w:tcW w:w="523" w:type="pct"/>
          </w:tcPr>
          <w:p w:rsidR="00E659A9" w:rsidRPr="0051775B" w:rsidRDefault="00E659A9" w:rsidP="001731FC">
            <w:pPr>
              <w:jc w:val="center"/>
              <w:rPr>
                <w:sz w:val="18"/>
                <w:szCs w:val="18"/>
              </w:rPr>
            </w:pPr>
            <w:r w:rsidRPr="0051775B">
              <w:rPr>
                <w:rFonts w:cstheme="minorHAnsi"/>
                <w:sz w:val="18"/>
                <w:szCs w:val="18"/>
              </w:rPr>
              <w:t>0,86±0,33</w:t>
            </w:r>
          </w:p>
        </w:tc>
        <w:tc>
          <w:tcPr>
            <w:tcW w:w="597" w:type="pct"/>
          </w:tcPr>
          <w:p w:rsidR="00E659A9" w:rsidRPr="006767C2" w:rsidRDefault="00E659A9" w:rsidP="001731FC">
            <w:pPr>
              <w:jc w:val="center"/>
              <w:rPr>
                <w:sz w:val="18"/>
                <w:szCs w:val="18"/>
              </w:rPr>
            </w:pPr>
            <w:r w:rsidRPr="006767C2">
              <w:rPr>
                <w:rFonts w:cstheme="minorHAnsi"/>
                <w:sz w:val="18"/>
                <w:szCs w:val="18"/>
              </w:rPr>
              <w:t>0,93±0,40</w:t>
            </w:r>
          </w:p>
        </w:tc>
        <w:tc>
          <w:tcPr>
            <w:tcW w:w="597" w:type="pct"/>
          </w:tcPr>
          <w:p w:rsidR="00E659A9" w:rsidRPr="006767C2" w:rsidRDefault="00E659A9" w:rsidP="001731FC">
            <w:pPr>
              <w:jc w:val="center"/>
              <w:rPr>
                <w:sz w:val="18"/>
                <w:szCs w:val="18"/>
              </w:rPr>
            </w:pPr>
            <w:r w:rsidRPr="006767C2">
              <w:rPr>
                <w:rFonts w:cstheme="minorHAnsi"/>
                <w:sz w:val="18"/>
                <w:szCs w:val="18"/>
              </w:rPr>
              <w:t>0,65±0,31</w:t>
            </w:r>
          </w:p>
        </w:tc>
        <w:tc>
          <w:tcPr>
            <w:tcW w:w="597" w:type="pct"/>
          </w:tcPr>
          <w:p w:rsidR="00E659A9" w:rsidRPr="0051775B" w:rsidRDefault="00E659A9" w:rsidP="001731FC">
            <w:pPr>
              <w:jc w:val="center"/>
              <w:rPr>
                <w:sz w:val="18"/>
                <w:szCs w:val="18"/>
              </w:rPr>
            </w:pPr>
            <w:r w:rsidRPr="0051775B">
              <w:rPr>
                <w:rFonts w:cstheme="minorHAnsi"/>
                <w:sz w:val="18"/>
                <w:szCs w:val="18"/>
              </w:rPr>
              <w:t>1,01±0,49</w:t>
            </w:r>
          </w:p>
        </w:tc>
        <w:tc>
          <w:tcPr>
            <w:tcW w:w="597" w:type="pct"/>
          </w:tcPr>
          <w:p w:rsidR="00E659A9" w:rsidRPr="0051775B" w:rsidRDefault="00E659A9" w:rsidP="001731FC">
            <w:pPr>
              <w:jc w:val="center"/>
              <w:rPr>
                <w:sz w:val="18"/>
                <w:szCs w:val="18"/>
              </w:rPr>
            </w:pPr>
            <w:r w:rsidRPr="0051775B">
              <w:rPr>
                <w:rFonts w:cstheme="minorHAnsi"/>
                <w:sz w:val="18"/>
                <w:szCs w:val="18"/>
              </w:rPr>
              <w:t>0,78±0,45</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0,093</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0,373</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0,081</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0.145</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0.244</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0,031</w:t>
            </w:r>
          </w:p>
        </w:tc>
      </w:tr>
      <w:tr w:rsidR="00E659A9" w:rsidRPr="0051775B" w:rsidTr="0056631F">
        <w:tc>
          <w:tcPr>
            <w:tcW w:w="1565" w:type="pct"/>
          </w:tcPr>
          <w:p w:rsidR="00E659A9" w:rsidRPr="0051775B" w:rsidRDefault="00E659A9" w:rsidP="001731FC">
            <w:pPr>
              <w:rPr>
                <w:sz w:val="18"/>
                <w:szCs w:val="18"/>
              </w:rPr>
            </w:pPr>
            <w:r w:rsidRPr="0051775B">
              <w:rPr>
                <w:sz w:val="18"/>
                <w:szCs w:val="18"/>
              </w:rPr>
              <w:t xml:space="preserve">PRE-BUBBLE BHI </w:t>
            </w:r>
            <w:r w:rsidRPr="0051775B">
              <w:rPr>
                <w:b/>
                <w:sz w:val="18"/>
                <w:szCs w:val="18"/>
              </w:rPr>
              <w:t xml:space="preserve">MCA </w:t>
            </w:r>
            <w:r w:rsidRPr="0051775B">
              <w:rPr>
                <w:sz w:val="18"/>
                <w:szCs w:val="18"/>
              </w:rPr>
              <w:t>all</w:t>
            </w:r>
          </w:p>
        </w:tc>
        <w:tc>
          <w:tcPr>
            <w:tcW w:w="522" w:type="pct"/>
          </w:tcPr>
          <w:p w:rsidR="00E659A9" w:rsidRPr="0051775B" w:rsidRDefault="00E659A9" w:rsidP="001731FC">
            <w:pPr>
              <w:jc w:val="center"/>
              <w:rPr>
                <w:sz w:val="18"/>
                <w:szCs w:val="18"/>
              </w:rPr>
            </w:pPr>
            <w:r w:rsidRPr="0051775B">
              <w:rPr>
                <w:rFonts w:cstheme="minorHAnsi"/>
                <w:sz w:val="18"/>
                <w:szCs w:val="18"/>
              </w:rPr>
              <w:t>0,83±0,22</w:t>
            </w:r>
          </w:p>
        </w:tc>
        <w:tc>
          <w:tcPr>
            <w:tcW w:w="523" w:type="pct"/>
          </w:tcPr>
          <w:p w:rsidR="00E659A9" w:rsidRPr="0051775B" w:rsidRDefault="00E659A9" w:rsidP="001731FC">
            <w:pPr>
              <w:jc w:val="center"/>
              <w:rPr>
                <w:sz w:val="18"/>
                <w:szCs w:val="18"/>
              </w:rPr>
            </w:pPr>
            <w:r w:rsidRPr="0051775B">
              <w:rPr>
                <w:rFonts w:cstheme="minorHAnsi"/>
                <w:sz w:val="18"/>
                <w:szCs w:val="18"/>
              </w:rPr>
              <w:t>1,03±0,94</w:t>
            </w:r>
          </w:p>
        </w:tc>
        <w:tc>
          <w:tcPr>
            <w:tcW w:w="597" w:type="pct"/>
          </w:tcPr>
          <w:p w:rsidR="00E659A9" w:rsidRPr="006767C2" w:rsidRDefault="00E659A9" w:rsidP="001731FC">
            <w:pPr>
              <w:jc w:val="center"/>
              <w:rPr>
                <w:sz w:val="18"/>
                <w:szCs w:val="18"/>
              </w:rPr>
            </w:pPr>
            <w:r w:rsidRPr="006767C2">
              <w:rPr>
                <w:rFonts w:cstheme="minorHAnsi"/>
                <w:sz w:val="18"/>
                <w:szCs w:val="18"/>
              </w:rPr>
              <w:t>1,43±0,32</w:t>
            </w:r>
          </w:p>
        </w:tc>
        <w:tc>
          <w:tcPr>
            <w:tcW w:w="597" w:type="pct"/>
          </w:tcPr>
          <w:p w:rsidR="00E659A9" w:rsidRPr="006767C2" w:rsidRDefault="00E659A9" w:rsidP="001731FC">
            <w:pPr>
              <w:jc w:val="center"/>
              <w:rPr>
                <w:sz w:val="18"/>
                <w:szCs w:val="18"/>
              </w:rPr>
            </w:pPr>
            <w:r w:rsidRPr="006767C2">
              <w:rPr>
                <w:rFonts w:cstheme="minorHAnsi"/>
                <w:sz w:val="18"/>
                <w:szCs w:val="18"/>
              </w:rPr>
              <w:t>1,07±0,86</w:t>
            </w:r>
          </w:p>
        </w:tc>
        <w:tc>
          <w:tcPr>
            <w:tcW w:w="597" w:type="pct"/>
          </w:tcPr>
          <w:p w:rsidR="00E659A9" w:rsidRPr="0051775B" w:rsidRDefault="00E659A9" w:rsidP="001731FC">
            <w:pPr>
              <w:jc w:val="center"/>
              <w:rPr>
                <w:sz w:val="18"/>
                <w:szCs w:val="18"/>
              </w:rPr>
            </w:pPr>
            <w:r w:rsidRPr="0051775B">
              <w:rPr>
                <w:rFonts w:cstheme="minorHAnsi"/>
                <w:sz w:val="18"/>
                <w:szCs w:val="18"/>
              </w:rPr>
              <w:t>1,43±0,47</w:t>
            </w:r>
          </w:p>
        </w:tc>
        <w:tc>
          <w:tcPr>
            <w:tcW w:w="597" w:type="pct"/>
          </w:tcPr>
          <w:p w:rsidR="00E659A9" w:rsidRPr="0051775B" w:rsidRDefault="00E659A9" w:rsidP="001731FC">
            <w:pPr>
              <w:jc w:val="center"/>
              <w:rPr>
                <w:sz w:val="18"/>
                <w:szCs w:val="18"/>
              </w:rPr>
            </w:pPr>
            <w:r w:rsidRPr="0051775B">
              <w:rPr>
                <w:rFonts w:cstheme="minorHAnsi"/>
                <w:sz w:val="18"/>
                <w:szCs w:val="18"/>
              </w:rPr>
              <w:t>1,01±0,45</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MCA all</w:t>
            </w:r>
          </w:p>
        </w:tc>
        <w:tc>
          <w:tcPr>
            <w:tcW w:w="522" w:type="pct"/>
          </w:tcPr>
          <w:p w:rsidR="00E659A9" w:rsidRPr="0051775B" w:rsidRDefault="00E659A9" w:rsidP="001731FC">
            <w:pPr>
              <w:jc w:val="center"/>
              <w:rPr>
                <w:sz w:val="18"/>
                <w:szCs w:val="18"/>
              </w:rPr>
            </w:pPr>
            <w:r w:rsidRPr="0051775B">
              <w:rPr>
                <w:rFonts w:cstheme="minorHAnsi"/>
                <w:sz w:val="18"/>
                <w:szCs w:val="18"/>
              </w:rPr>
              <w:t>0,93±0,26</w:t>
            </w:r>
          </w:p>
        </w:tc>
        <w:tc>
          <w:tcPr>
            <w:tcW w:w="523" w:type="pct"/>
          </w:tcPr>
          <w:p w:rsidR="00E659A9" w:rsidRPr="0051775B" w:rsidRDefault="00E659A9" w:rsidP="001731FC">
            <w:pPr>
              <w:jc w:val="center"/>
              <w:rPr>
                <w:sz w:val="18"/>
                <w:szCs w:val="18"/>
              </w:rPr>
            </w:pPr>
            <w:r w:rsidRPr="0051775B">
              <w:rPr>
                <w:rFonts w:cstheme="minorHAnsi"/>
                <w:sz w:val="18"/>
                <w:szCs w:val="18"/>
              </w:rPr>
              <w:t>0,94±0,40</w:t>
            </w:r>
          </w:p>
        </w:tc>
        <w:tc>
          <w:tcPr>
            <w:tcW w:w="597" w:type="pct"/>
          </w:tcPr>
          <w:p w:rsidR="00E659A9" w:rsidRPr="006767C2" w:rsidRDefault="00E659A9" w:rsidP="001731FC">
            <w:pPr>
              <w:jc w:val="center"/>
              <w:rPr>
                <w:sz w:val="18"/>
                <w:szCs w:val="18"/>
              </w:rPr>
            </w:pPr>
            <w:r w:rsidRPr="006767C2">
              <w:rPr>
                <w:rFonts w:cstheme="minorHAnsi"/>
                <w:sz w:val="18"/>
                <w:szCs w:val="18"/>
              </w:rPr>
              <w:t>1,31±0,47</w:t>
            </w:r>
          </w:p>
        </w:tc>
        <w:tc>
          <w:tcPr>
            <w:tcW w:w="597" w:type="pct"/>
          </w:tcPr>
          <w:p w:rsidR="00E659A9" w:rsidRPr="006767C2" w:rsidRDefault="00E659A9" w:rsidP="001731FC">
            <w:pPr>
              <w:jc w:val="center"/>
              <w:rPr>
                <w:sz w:val="18"/>
                <w:szCs w:val="18"/>
              </w:rPr>
            </w:pPr>
            <w:r w:rsidRPr="006767C2">
              <w:rPr>
                <w:rFonts w:cstheme="minorHAnsi"/>
                <w:sz w:val="18"/>
                <w:szCs w:val="18"/>
              </w:rPr>
              <w:t>1,06±0,77</w:t>
            </w:r>
          </w:p>
        </w:tc>
        <w:tc>
          <w:tcPr>
            <w:tcW w:w="597" w:type="pct"/>
          </w:tcPr>
          <w:p w:rsidR="00E659A9" w:rsidRPr="0051775B" w:rsidRDefault="00E659A9" w:rsidP="001731FC">
            <w:pPr>
              <w:jc w:val="center"/>
              <w:rPr>
                <w:sz w:val="18"/>
                <w:szCs w:val="18"/>
              </w:rPr>
            </w:pPr>
            <w:r w:rsidRPr="0051775B">
              <w:rPr>
                <w:rFonts w:cstheme="minorHAnsi"/>
                <w:sz w:val="18"/>
                <w:szCs w:val="18"/>
              </w:rPr>
              <w:t>1,40±0,61</w:t>
            </w:r>
          </w:p>
        </w:tc>
        <w:tc>
          <w:tcPr>
            <w:tcW w:w="597" w:type="pct"/>
          </w:tcPr>
          <w:p w:rsidR="00E659A9" w:rsidRPr="0051775B" w:rsidRDefault="00E659A9" w:rsidP="001731FC">
            <w:pPr>
              <w:jc w:val="center"/>
              <w:rPr>
                <w:sz w:val="18"/>
                <w:szCs w:val="18"/>
              </w:rPr>
            </w:pPr>
            <w:r w:rsidRPr="0051775B">
              <w:rPr>
                <w:rFonts w:cstheme="minorHAnsi"/>
                <w:sz w:val="18"/>
                <w:szCs w:val="18"/>
              </w:rPr>
              <w:t>0,89±0,39</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0,317</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0,459</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0.356</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0.919</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0,645</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0,218</w:t>
            </w:r>
          </w:p>
        </w:tc>
      </w:tr>
      <w:tr w:rsidR="00E659A9" w:rsidRPr="0051775B" w:rsidTr="0056631F">
        <w:tc>
          <w:tcPr>
            <w:tcW w:w="1565" w:type="pct"/>
          </w:tcPr>
          <w:p w:rsidR="00E659A9" w:rsidRPr="0051775B" w:rsidRDefault="00E659A9" w:rsidP="001731FC">
            <w:pPr>
              <w:rPr>
                <w:sz w:val="18"/>
                <w:szCs w:val="18"/>
              </w:rPr>
            </w:pPr>
            <w:r w:rsidRPr="0051775B">
              <w:rPr>
                <w:sz w:val="18"/>
                <w:szCs w:val="18"/>
              </w:rPr>
              <w:t>PRE-BUBBLE BHI MCA ipsilateral</w:t>
            </w:r>
          </w:p>
        </w:tc>
        <w:tc>
          <w:tcPr>
            <w:tcW w:w="522" w:type="pct"/>
          </w:tcPr>
          <w:p w:rsidR="00E659A9" w:rsidRPr="0051775B" w:rsidRDefault="00E659A9" w:rsidP="001731FC">
            <w:pPr>
              <w:jc w:val="center"/>
              <w:rPr>
                <w:sz w:val="18"/>
                <w:szCs w:val="18"/>
              </w:rPr>
            </w:pPr>
            <w:r w:rsidRPr="0051775B">
              <w:rPr>
                <w:rFonts w:cstheme="minorHAnsi"/>
                <w:sz w:val="18"/>
                <w:szCs w:val="18"/>
              </w:rPr>
              <w:t>0,77±0,21</w:t>
            </w:r>
          </w:p>
        </w:tc>
        <w:tc>
          <w:tcPr>
            <w:tcW w:w="523" w:type="pct"/>
          </w:tcPr>
          <w:p w:rsidR="00E659A9" w:rsidRPr="0051775B" w:rsidRDefault="00E659A9" w:rsidP="001731FC">
            <w:pPr>
              <w:jc w:val="center"/>
              <w:rPr>
                <w:sz w:val="18"/>
                <w:szCs w:val="18"/>
              </w:rPr>
            </w:pPr>
            <w:r w:rsidRPr="0051775B">
              <w:rPr>
                <w:rFonts w:cstheme="minorHAnsi"/>
                <w:sz w:val="18"/>
                <w:szCs w:val="18"/>
              </w:rPr>
              <w:t>0,92±0,37</w:t>
            </w:r>
          </w:p>
        </w:tc>
        <w:tc>
          <w:tcPr>
            <w:tcW w:w="597" w:type="pct"/>
          </w:tcPr>
          <w:p w:rsidR="00E659A9" w:rsidRPr="006767C2" w:rsidRDefault="00E659A9" w:rsidP="001731FC">
            <w:pPr>
              <w:jc w:val="center"/>
              <w:rPr>
                <w:sz w:val="18"/>
                <w:szCs w:val="18"/>
              </w:rPr>
            </w:pPr>
            <w:r w:rsidRPr="006767C2">
              <w:rPr>
                <w:rFonts w:cstheme="minorHAnsi"/>
                <w:sz w:val="18"/>
                <w:szCs w:val="18"/>
              </w:rPr>
              <w:t>1,35±0,33</w:t>
            </w:r>
          </w:p>
        </w:tc>
        <w:tc>
          <w:tcPr>
            <w:tcW w:w="597" w:type="pct"/>
          </w:tcPr>
          <w:p w:rsidR="00E659A9" w:rsidRPr="006767C2" w:rsidRDefault="00E659A9" w:rsidP="001731FC">
            <w:pPr>
              <w:jc w:val="center"/>
              <w:rPr>
                <w:sz w:val="18"/>
                <w:szCs w:val="18"/>
              </w:rPr>
            </w:pPr>
            <w:r w:rsidRPr="006767C2">
              <w:rPr>
                <w:rFonts w:cstheme="minorHAnsi"/>
                <w:sz w:val="18"/>
                <w:szCs w:val="18"/>
              </w:rPr>
              <w:t>1,12±0,95</w:t>
            </w:r>
          </w:p>
        </w:tc>
        <w:tc>
          <w:tcPr>
            <w:tcW w:w="597" w:type="pct"/>
          </w:tcPr>
          <w:p w:rsidR="00E659A9" w:rsidRPr="0051775B" w:rsidRDefault="00E659A9" w:rsidP="001731FC">
            <w:pPr>
              <w:jc w:val="center"/>
              <w:rPr>
                <w:sz w:val="18"/>
                <w:szCs w:val="18"/>
              </w:rPr>
            </w:pPr>
            <w:r w:rsidRPr="0051775B">
              <w:rPr>
                <w:rFonts w:cstheme="minorHAnsi"/>
                <w:sz w:val="18"/>
                <w:szCs w:val="18"/>
              </w:rPr>
              <w:t>1,46±0.50</w:t>
            </w:r>
          </w:p>
        </w:tc>
        <w:tc>
          <w:tcPr>
            <w:tcW w:w="597" w:type="pct"/>
          </w:tcPr>
          <w:p w:rsidR="00E659A9" w:rsidRPr="0051775B" w:rsidRDefault="00E659A9" w:rsidP="001731FC">
            <w:pPr>
              <w:jc w:val="center"/>
              <w:rPr>
                <w:sz w:val="18"/>
                <w:szCs w:val="18"/>
              </w:rPr>
            </w:pPr>
            <w:r w:rsidRPr="0051775B">
              <w:rPr>
                <w:rFonts w:cstheme="minorHAnsi"/>
                <w:sz w:val="18"/>
                <w:szCs w:val="18"/>
              </w:rPr>
              <w:t>0,94±0,43</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MCA ipsilateral</w:t>
            </w:r>
          </w:p>
        </w:tc>
        <w:tc>
          <w:tcPr>
            <w:tcW w:w="522" w:type="pct"/>
          </w:tcPr>
          <w:p w:rsidR="00E659A9" w:rsidRPr="0051775B" w:rsidRDefault="00E659A9" w:rsidP="001731FC">
            <w:pPr>
              <w:jc w:val="center"/>
              <w:rPr>
                <w:sz w:val="18"/>
                <w:szCs w:val="18"/>
              </w:rPr>
            </w:pPr>
            <w:r w:rsidRPr="0051775B">
              <w:rPr>
                <w:rFonts w:cstheme="minorHAnsi"/>
                <w:sz w:val="18"/>
                <w:szCs w:val="18"/>
              </w:rPr>
              <w:t>1,00±0,45</w:t>
            </w:r>
          </w:p>
        </w:tc>
        <w:tc>
          <w:tcPr>
            <w:tcW w:w="523" w:type="pct"/>
          </w:tcPr>
          <w:p w:rsidR="00E659A9" w:rsidRPr="0051775B" w:rsidRDefault="00E659A9" w:rsidP="001731FC">
            <w:pPr>
              <w:jc w:val="center"/>
              <w:rPr>
                <w:sz w:val="18"/>
                <w:szCs w:val="18"/>
              </w:rPr>
            </w:pPr>
            <w:r w:rsidRPr="0051775B">
              <w:rPr>
                <w:rFonts w:cstheme="minorHAnsi"/>
                <w:sz w:val="18"/>
                <w:szCs w:val="18"/>
              </w:rPr>
              <w:t>0,94±0,36</w:t>
            </w:r>
          </w:p>
        </w:tc>
        <w:tc>
          <w:tcPr>
            <w:tcW w:w="597" w:type="pct"/>
          </w:tcPr>
          <w:p w:rsidR="00E659A9" w:rsidRPr="006767C2" w:rsidRDefault="00E659A9" w:rsidP="001731FC">
            <w:pPr>
              <w:jc w:val="center"/>
              <w:rPr>
                <w:sz w:val="18"/>
                <w:szCs w:val="18"/>
              </w:rPr>
            </w:pPr>
            <w:r w:rsidRPr="006767C2">
              <w:rPr>
                <w:rFonts w:cstheme="minorHAnsi"/>
                <w:sz w:val="18"/>
                <w:szCs w:val="18"/>
              </w:rPr>
              <w:t>1,31±0,59</w:t>
            </w:r>
          </w:p>
        </w:tc>
        <w:tc>
          <w:tcPr>
            <w:tcW w:w="597" w:type="pct"/>
          </w:tcPr>
          <w:p w:rsidR="00E659A9" w:rsidRPr="006767C2" w:rsidRDefault="00E659A9" w:rsidP="001731FC">
            <w:pPr>
              <w:jc w:val="center"/>
              <w:rPr>
                <w:sz w:val="18"/>
                <w:szCs w:val="18"/>
              </w:rPr>
            </w:pPr>
            <w:r w:rsidRPr="006767C2">
              <w:rPr>
                <w:rFonts w:cstheme="minorHAnsi"/>
                <w:sz w:val="18"/>
                <w:szCs w:val="18"/>
              </w:rPr>
              <w:t>1,03±0,66</w:t>
            </w:r>
          </w:p>
        </w:tc>
        <w:tc>
          <w:tcPr>
            <w:tcW w:w="597" w:type="pct"/>
          </w:tcPr>
          <w:p w:rsidR="00E659A9" w:rsidRPr="0051775B" w:rsidRDefault="00E659A9" w:rsidP="001731FC">
            <w:pPr>
              <w:jc w:val="center"/>
              <w:rPr>
                <w:sz w:val="18"/>
                <w:szCs w:val="18"/>
              </w:rPr>
            </w:pPr>
            <w:r w:rsidRPr="0051775B">
              <w:rPr>
                <w:rFonts w:cstheme="minorHAnsi"/>
                <w:sz w:val="18"/>
                <w:szCs w:val="18"/>
              </w:rPr>
              <w:t>1,34±0,61</w:t>
            </w:r>
          </w:p>
        </w:tc>
        <w:tc>
          <w:tcPr>
            <w:tcW w:w="597" w:type="pct"/>
          </w:tcPr>
          <w:p w:rsidR="00E659A9" w:rsidRPr="0051775B" w:rsidRDefault="00E659A9" w:rsidP="001731FC">
            <w:pPr>
              <w:jc w:val="center"/>
              <w:rPr>
                <w:sz w:val="18"/>
                <w:szCs w:val="18"/>
              </w:rPr>
            </w:pPr>
            <w:r w:rsidRPr="0051775B">
              <w:rPr>
                <w:rFonts w:cstheme="minorHAnsi"/>
                <w:sz w:val="18"/>
                <w:szCs w:val="18"/>
              </w:rPr>
              <w:t>0,81±0,33</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0,071</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0,849</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0,844</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0.553</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0,246</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0,222</w:t>
            </w:r>
          </w:p>
        </w:tc>
      </w:tr>
      <w:tr w:rsidR="00E659A9" w:rsidRPr="0051775B" w:rsidTr="0056631F">
        <w:tc>
          <w:tcPr>
            <w:tcW w:w="1565" w:type="pct"/>
          </w:tcPr>
          <w:p w:rsidR="00E659A9" w:rsidRPr="0051775B" w:rsidRDefault="00E659A9" w:rsidP="001731FC">
            <w:pPr>
              <w:rPr>
                <w:sz w:val="18"/>
                <w:szCs w:val="18"/>
              </w:rPr>
            </w:pPr>
            <w:r w:rsidRPr="0051775B">
              <w:rPr>
                <w:sz w:val="18"/>
                <w:szCs w:val="18"/>
              </w:rPr>
              <w:t>PRE-BUBBLE BHI MCA contrlateral</w:t>
            </w:r>
          </w:p>
        </w:tc>
        <w:tc>
          <w:tcPr>
            <w:tcW w:w="522" w:type="pct"/>
          </w:tcPr>
          <w:p w:rsidR="00E659A9" w:rsidRPr="0051775B" w:rsidRDefault="00E659A9" w:rsidP="001731FC">
            <w:pPr>
              <w:jc w:val="center"/>
              <w:rPr>
                <w:sz w:val="18"/>
                <w:szCs w:val="18"/>
              </w:rPr>
            </w:pPr>
            <w:r w:rsidRPr="0051775B">
              <w:rPr>
                <w:rFonts w:cstheme="minorHAnsi"/>
                <w:sz w:val="18"/>
                <w:szCs w:val="18"/>
              </w:rPr>
              <w:t>0,94±0,29</w:t>
            </w:r>
          </w:p>
        </w:tc>
        <w:tc>
          <w:tcPr>
            <w:tcW w:w="523" w:type="pct"/>
          </w:tcPr>
          <w:p w:rsidR="00E659A9" w:rsidRPr="0051775B" w:rsidRDefault="00E659A9" w:rsidP="001731FC">
            <w:pPr>
              <w:jc w:val="center"/>
              <w:rPr>
                <w:sz w:val="18"/>
                <w:szCs w:val="18"/>
              </w:rPr>
            </w:pPr>
            <w:r w:rsidRPr="0051775B">
              <w:rPr>
                <w:rFonts w:cstheme="minorHAnsi"/>
                <w:sz w:val="18"/>
                <w:szCs w:val="18"/>
              </w:rPr>
              <w:t>1,14±0,68</w:t>
            </w:r>
          </w:p>
        </w:tc>
        <w:tc>
          <w:tcPr>
            <w:tcW w:w="597" w:type="pct"/>
          </w:tcPr>
          <w:p w:rsidR="00E659A9" w:rsidRPr="006767C2" w:rsidRDefault="00E659A9" w:rsidP="001731FC">
            <w:pPr>
              <w:jc w:val="center"/>
              <w:rPr>
                <w:sz w:val="18"/>
                <w:szCs w:val="18"/>
              </w:rPr>
            </w:pPr>
            <w:r w:rsidRPr="006767C2">
              <w:rPr>
                <w:rFonts w:cstheme="minorHAnsi"/>
                <w:sz w:val="18"/>
                <w:szCs w:val="18"/>
              </w:rPr>
              <w:t>1,50±0,37</w:t>
            </w:r>
          </w:p>
        </w:tc>
        <w:tc>
          <w:tcPr>
            <w:tcW w:w="597" w:type="pct"/>
          </w:tcPr>
          <w:p w:rsidR="00E659A9" w:rsidRPr="006767C2" w:rsidRDefault="00E659A9" w:rsidP="001731FC">
            <w:pPr>
              <w:jc w:val="center"/>
              <w:rPr>
                <w:sz w:val="18"/>
                <w:szCs w:val="18"/>
              </w:rPr>
            </w:pPr>
            <w:r w:rsidRPr="006767C2">
              <w:rPr>
                <w:rFonts w:cstheme="minorHAnsi"/>
                <w:sz w:val="18"/>
                <w:szCs w:val="18"/>
              </w:rPr>
              <w:t>1,02±0,79</w:t>
            </w:r>
          </w:p>
        </w:tc>
        <w:tc>
          <w:tcPr>
            <w:tcW w:w="597" w:type="pct"/>
          </w:tcPr>
          <w:p w:rsidR="00E659A9" w:rsidRPr="0051775B" w:rsidRDefault="00E659A9" w:rsidP="001731FC">
            <w:pPr>
              <w:jc w:val="center"/>
              <w:rPr>
                <w:sz w:val="18"/>
                <w:szCs w:val="18"/>
              </w:rPr>
            </w:pPr>
            <w:r w:rsidRPr="0051775B">
              <w:rPr>
                <w:rFonts w:cstheme="minorHAnsi"/>
                <w:sz w:val="18"/>
                <w:szCs w:val="18"/>
              </w:rPr>
              <w:t>1,41±0,46</w:t>
            </w:r>
          </w:p>
        </w:tc>
        <w:tc>
          <w:tcPr>
            <w:tcW w:w="597" w:type="pct"/>
          </w:tcPr>
          <w:p w:rsidR="00E659A9" w:rsidRPr="0051775B" w:rsidRDefault="00E659A9" w:rsidP="001731FC">
            <w:pPr>
              <w:jc w:val="center"/>
              <w:rPr>
                <w:sz w:val="18"/>
                <w:szCs w:val="18"/>
              </w:rPr>
            </w:pPr>
            <w:r w:rsidRPr="0051775B">
              <w:rPr>
                <w:rFonts w:cstheme="minorHAnsi"/>
                <w:sz w:val="18"/>
                <w:szCs w:val="18"/>
              </w:rPr>
              <w:t>1,07±0,49</w:t>
            </w:r>
          </w:p>
        </w:tc>
      </w:tr>
      <w:tr w:rsidR="00E659A9" w:rsidRPr="0051775B" w:rsidTr="0056631F">
        <w:tc>
          <w:tcPr>
            <w:tcW w:w="1565" w:type="pct"/>
          </w:tcPr>
          <w:p w:rsidR="00E659A9" w:rsidRPr="0051775B" w:rsidRDefault="00E659A9" w:rsidP="001731FC">
            <w:pPr>
              <w:rPr>
                <w:sz w:val="18"/>
                <w:szCs w:val="18"/>
              </w:rPr>
            </w:pPr>
            <w:r w:rsidRPr="0051775B">
              <w:rPr>
                <w:sz w:val="18"/>
                <w:szCs w:val="18"/>
              </w:rPr>
              <w:t>POST-BUBBLE BHI MCA contrlateral</w:t>
            </w:r>
          </w:p>
        </w:tc>
        <w:tc>
          <w:tcPr>
            <w:tcW w:w="522" w:type="pct"/>
          </w:tcPr>
          <w:p w:rsidR="00E659A9" w:rsidRPr="0051775B" w:rsidRDefault="00E659A9" w:rsidP="001731FC">
            <w:pPr>
              <w:jc w:val="center"/>
              <w:rPr>
                <w:sz w:val="18"/>
                <w:szCs w:val="18"/>
              </w:rPr>
            </w:pPr>
            <w:r w:rsidRPr="0051775B">
              <w:rPr>
                <w:rFonts w:cstheme="minorHAnsi"/>
                <w:sz w:val="18"/>
                <w:szCs w:val="18"/>
              </w:rPr>
              <w:t>0,93±0,31</w:t>
            </w:r>
          </w:p>
        </w:tc>
        <w:tc>
          <w:tcPr>
            <w:tcW w:w="523" w:type="pct"/>
          </w:tcPr>
          <w:p w:rsidR="00E659A9" w:rsidRPr="0051775B" w:rsidRDefault="00E659A9" w:rsidP="001731FC">
            <w:pPr>
              <w:jc w:val="center"/>
              <w:rPr>
                <w:sz w:val="18"/>
                <w:szCs w:val="18"/>
              </w:rPr>
            </w:pPr>
            <w:r w:rsidRPr="0051775B">
              <w:rPr>
                <w:rFonts w:cstheme="minorHAnsi"/>
                <w:sz w:val="18"/>
                <w:szCs w:val="18"/>
              </w:rPr>
              <w:t>0,94±0,52</w:t>
            </w:r>
          </w:p>
        </w:tc>
        <w:tc>
          <w:tcPr>
            <w:tcW w:w="597" w:type="pct"/>
          </w:tcPr>
          <w:p w:rsidR="00E659A9" w:rsidRPr="006767C2" w:rsidRDefault="00E659A9" w:rsidP="001731FC">
            <w:pPr>
              <w:jc w:val="center"/>
              <w:rPr>
                <w:sz w:val="18"/>
                <w:szCs w:val="18"/>
              </w:rPr>
            </w:pPr>
            <w:r w:rsidRPr="006767C2">
              <w:rPr>
                <w:rFonts w:cstheme="minorHAnsi"/>
                <w:sz w:val="18"/>
                <w:szCs w:val="18"/>
              </w:rPr>
              <w:t>1,31±0,44</w:t>
            </w:r>
          </w:p>
        </w:tc>
        <w:tc>
          <w:tcPr>
            <w:tcW w:w="597" w:type="pct"/>
          </w:tcPr>
          <w:p w:rsidR="00E659A9" w:rsidRPr="006767C2" w:rsidRDefault="00E659A9" w:rsidP="001731FC">
            <w:pPr>
              <w:jc w:val="center"/>
              <w:rPr>
                <w:sz w:val="18"/>
                <w:szCs w:val="18"/>
              </w:rPr>
            </w:pPr>
            <w:r w:rsidRPr="006767C2">
              <w:rPr>
                <w:rFonts w:cstheme="minorHAnsi"/>
                <w:sz w:val="18"/>
                <w:szCs w:val="18"/>
              </w:rPr>
              <w:t>1,09±0,87</w:t>
            </w:r>
          </w:p>
        </w:tc>
        <w:tc>
          <w:tcPr>
            <w:tcW w:w="597" w:type="pct"/>
          </w:tcPr>
          <w:p w:rsidR="00E659A9" w:rsidRPr="0051775B" w:rsidRDefault="00E659A9" w:rsidP="001731FC">
            <w:pPr>
              <w:jc w:val="center"/>
              <w:rPr>
                <w:sz w:val="18"/>
                <w:szCs w:val="18"/>
              </w:rPr>
            </w:pPr>
            <w:r w:rsidRPr="0051775B">
              <w:rPr>
                <w:rFonts w:cstheme="minorHAnsi"/>
                <w:sz w:val="18"/>
                <w:szCs w:val="18"/>
              </w:rPr>
              <w:t>1,46±0,69</w:t>
            </w:r>
          </w:p>
        </w:tc>
        <w:tc>
          <w:tcPr>
            <w:tcW w:w="597" w:type="pct"/>
          </w:tcPr>
          <w:p w:rsidR="00E659A9" w:rsidRPr="0051775B" w:rsidRDefault="00E659A9" w:rsidP="001731FC">
            <w:pPr>
              <w:jc w:val="center"/>
              <w:rPr>
                <w:sz w:val="18"/>
                <w:szCs w:val="18"/>
              </w:rPr>
            </w:pPr>
            <w:r w:rsidRPr="0051775B">
              <w:rPr>
                <w:rFonts w:cstheme="minorHAnsi"/>
                <w:sz w:val="18"/>
                <w:szCs w:val="18"/>
              </w:rPr>
              <w:t>0,97±0,46</w:t>
            </w:r>
          </w:p>
        </w:tc>
      </w:tr>
      <w:tr w:rsidR="00E659A9" w:rsidRPr="0051775B" w:rsidTr="0056631F">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0,936</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0,210</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0,168</w:t>
            </w:r>
          </w:p>
        </w:tc>
        <w:tc>
          <w:tcPr>
            <w:tcW w:w="597" w:type="pct"/>
            <w:shd w:val="clear" w:color="auto" w:fill="F2F2F2" w:themeFill="background1" w:themeFillShade="F2"/>
          </w:tcPr>
          <w:p w:rsidR="00E659A9" w:rsidRPr="006767C2" w:rsidRDefault="00E659A9" w:rsidP="001731FC">
            <w:pPr>
              <w:jc w:val="center"/>
              <w:rPr>
                <w:sz w:val="18"/>
                <w:szCs w:val="18"/>
              </w:rPr>
            </w:pPr>
            <w:r w:rsidRPr="006767C2">
              <w:rPr>
                <w:sz w:val="18"/>
                <w:szCs w:val="18"/>
              </w:rPr>
              <w:t>0.558</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0,612</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0,270</w:t>
            </w:r>
          </w:p>
        </w:tc>
      </w:tr>
    </w:tbl>
    <w:p w:rsidR="00E659A9" w:rsidRDefault="00E659A9" w:rsidP="0056631F">
      <w:pPr>
        <w:autoSpaceDE w:val="0"/>
        <w:autoSpaceDN w:val="0"/>
        <w:adjustRightInd w:val="0"/>
        <w:spacing w:after="0" w:line="400" w:lineRule="atLeast"/>
        <w:jc w:val="center"/>
        <w:rPr>
          <w:rFonts w:ascii="Arial" w:hAnsi="Arial" w:cs="Arial"/>
          <w:b/>
          <w:sz w:val="24"/>
          <w:szCs w:val="24"/>
        </w:rPr>
      </w:pPr>
      <w:r w:rsidRPr="003F2DF5">
        <w:rPr>
          <w:rFonts w:ascii="Arial" w:hAnsi="Arial" w:cs="Arial"/>
          <w:b/>
          <w:noProof/>
          <w:sz w:val="24"/>
          <w:szCs w:val="24"/>
          <w:lang w:eastAsia="tr-TR"/>
        </w:rPr>
        <w:lastRenderedPageBreak/>
        <w:drawing>
          <wp:inline distT="0" distB="0" distL="0" distR="0">
            <wp:extent cx="5942330" cy="1427961"/>
            <wp:effectExtent l="0" t="0" r="1270" b="127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lum bright="-20000" contrast="20000"/>
                      <a:extLst>
                        <a:ext uri="{28A0092B-C50C-407E-A947-70E740481C1C}">
                          <a14:useLocalDpi xmlns:a14="http://schemas.microsoft.com/office/drawing/2010/main" val="0"/>
                        </a:ext>
                      </a:extLst>
                    </a:blip>
                    <a:srcRect/>
                    <a:stretch>
                      <a:fillRect/>
                    </a:stretch>
                  </pic:blipFill>
                  <pic:spPr bwMode="auto">
                    <a:xfrm>
                      <a:off x="0" y="0"/>
                      <a:ext cx="5942330" cy="1427961"/>
                    </a:xfrm>
                    <a:prstGeom prst="rect">
                      <a:avLst/>
                    </a:prstGeom>
                    <a:noFill/>
                    <a:ln>
                      <a:noFill/>
                    </a:ln>
                  </pic:spPr>
                </pic:pic>
              </a:graphicData>
            </a:graphic>
          </wp:inline>
        </w:drawing>
      </w:r>
    </w:p>
    <w:p w:rsidR="00E659A9" w:rsidRDefault="00E659A9" w:rsidP="0056631F">
      <w:pPr>
        <w:autoSpaceDE w:val="0"/>
        <w:autoSpaceDN w:val="0"/>
        <w:adjustRightInd w:val="0"/>
        <w:spacing w:after="0" w:line="400" w:lineRule="atLeast"/>
        <w:jc w:val="center"/>
        <w:rPr>
          <w:rFonts w:ascii="Arial" w:hAnsi="Arial" w:cs="Arial"/>
          <w:b/>
          <w:sz w:val="24"/>
          <w:szCs w:val="24"/>
        </w:rPr>
      </w:pPr>
      <w:r>
        <w:rPr>
          <w:rFonts w:ascii="Arial" w:hAnsi="Arial" w:cs="Arial"/>
          <w:b/>
          <w:sz w:val="24"/>
          <w:szCs w:val="24"/>
        </w:rPr>
        <w:t>PCA                                                             MCA</w:t>
      </w:r>
    </w:p>
    <w:p w:rsidR="0056631F" w:rsidRDefault="0056631F" w:rsidP="009E5AE5">
      <w:pPr>
        <w:pStyle w:val="Resimler5"/>
        <w:spacing w:after="240"/>
        <w:jc w:val="center"/>
      </w:pPr>
      <w:bookmarkStart w:id="54" w:name="_Toc492677207"/>
      <w:r>
        <w:t xml:space="preserve">Resim </w:t>
      </w:r>
      <w:r w:rsidR="007259BF">
        <w:t>3.</w:t>
      </w:r>
      <w:r>
        <w:t xml:space="preserve">8b: </w:t>
      </w:r>
      <w:r w:rsidRPr="0056631F">
        <w:rPr>
          <w:b w:val="0"/>
        </w:rPr>
        <w:t>Ajite salin öncesi ve sonrası BHI değişimi II</w:t>
      </w:r>
      <w:bookmarkEnd w:id="54"/>
    </w:p>
    <w:p w:rsidR="00E659A9" w:rsidRPr="0056631F" w:rsidRDefault="00E659A9" w:rsidP="009E5AE5">
      <w:pPr>
        <w:pStyle w:val="Tablolar6"/>
        <w:spacing w:before="0"/>
        <w:rPr>
          <w:b w:val="0"/>
        </w:rPr>
      </w:pPr>
      <w:bookmarkStart w:id="55" w:name="_Toc492677373"/>
      <w:r w:rsidRPr="00461F9A">
        <w:t xml:space="preserve">Tablo </w:t>
      </w:r>
      <w:r w:rsidR="007259BF">
        <w:t>3.</w:t>
      </w:r>
      <w:r w:rsidRPr="00461F9A">
        <w:t>7a</w:t>
      </w:r>
      <w:r w:rsidR="0056631F">
        <w:rPr>
          <w:b w:val="0"/>
        </w:rPr>
        <w:t>.</w:t>
      </w:r>
      <w:r w:rsidRPr="0056631F">
        <w:rPr>
          <w:b w:val="0"/>
        </w:rPr>
        <w:t xml:space="preserve"> Ajite salinin BHT faz-II dip yanıtına olan etkisi I</w:t>
      </w:r>
      <w:bookmarkEnd w:id="55"/>
    </w:p>
    <w:tbl>
      <w:tblPr>
        <w:tblStyle w:val="TabloKlavuzu"/>
        <w:tblW w:w="5000" w:type="pct"/>
        <w:tblLook w:val="04A0" w:firstRow="1" w:lastRow="0" w:firstColumn="1" w:lastColumn="0" w:noHBand="0" w:noVBand="1"/>
      </w:tblPr>
      <w:tblGrid>
        <w:gridCol w:w="4202"/>
        <w:gridCol w:w="1402"/>
        <w:gridCol w:w="1407"/>
        <w:gridCol w:w="1603"/>
        <w:gridCol w:w="1606"/>
        <w:gridCol w:w="1603"/>
        <w:gridCol w:w="1603"/>
      </w:tblGrid>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p>
        </w:tc>
        <w:tc>
          <w:tcPr>
            <w:tcW w:w="1046"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PFO</w:t>
            </w:r>
          </w:p>
        </w:tc>
        <w:tc>
          <w:tcPr>
            <w:tcW w:w="1195"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w:t>
            </w:r>
          </w:p>
        </w:tc>
        <w:tc>
          <w:tcPr>
            <w:tcW w:w="1194"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Migren+PFO</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24"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8"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Grup</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2,4,6</w:t>
            </w:r>
          </w:p>
        </w:tc>
        <w:tc>
          <w:tcPr>
            <w:tcW w:w="524"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1,3,5</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3,4,5,6</w:t>
            </w:r>
          </w:p>
        </w:tc>
        <w:tc>
          <w:tcPr>
            <w:tcW w:w="598"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4,6</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1,2,3,5</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N</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26</w:t>
            </w:r>
          </w:p>
        </w:tc>
        <w:tc>
          <w:tcPr>
            <w:tcW w:w="524"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30</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c>
          <w:tcPr>
            <w:tcW w:w="598"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r>
      <w:tr w:rsidR="00E659A9" w:rsidRPr="00954456" w:rsidTr="009E5AE5">
        <w:tc>
          <w:tcPr>
            <w:tcW w:w="1565" w:type="pct"/>
          </w:tcPr>
          <w:p w:rsidR="00E659A9" w:rsidRPr="00954456" w:rsidRDefault="00E659A9" w:rsidP="001731FC">
            <w:pPr>
              <w:rPr>
                <w:sz w:val="18"/>
                <w:szCs w:val="18"/>
              </w:rPr>
            </w:pPr>
            <w:r w:rsidRPr="00954456">
              <w:rPr>
                <w:sz w:val="18"/>
                <w:szCs w:val="18"/>
              </w:rPr>
              <w:t>PRE-BUBBLE %</w:t>
            </w:r>
            <w:r w:rsidRPr="00954456">
              <w:rPr>
                <w:sz w:val="18"/>
                <w:szCs w:val="18"/>
              </w:rPr>
              <w:sym w:font="Symbol" w:char="F0AF"/>
            </w:r>
            <w:r w:rsidRPr="00954456">
              <w:rPr>
                <w:sz w:val="18"/>
                <w:szCs w:val="18"/>
              </w:rPr>
              <w:t xml:space="preserve"> dip (faz-2) PCA all</w:t>
            </w:r>
          </w:p>
        </w:tc>
        <w:tc>
          <w:tcPr>
            <w:tcW w:w="522" w:type="pct"/>
          </w:tcPr>
          <w:p w:rsidR="00E659A9" w:rsidRPr="00954456" w:rsidRDefault="00E659A9" w:rsidP="001731FC">
            <w:pPr>
              <w:jc w:val="center"/>
              <w:rPr>
                <w:sz w:val="18"/>
                <w:szCs w:val="18"/>
              </w:rPr>
            </w:pPr>
            <w:r w:rsidRPr="00954456">
              <w:rPr>
                <w:sz w:val="18"/>
                <w:szCs w:val="18"/>
              </w:rPr>
              <w:t>9,6</w:t>
            </w:r>
            <w:r w:rsidRPr="00954456">
              <w:rPr>
                <w:rFonts w:cstheme="minorHAnsi"/>
                <w:sz w:val="18"/>
                <w:szCs w:val="18"/>
              </w:rPr>
              <w:t>±7,8</w:t>
            </w:r>
          </w:p>
        </w:tc>
        <w:tc>
          <w:tcPr>
            <w:tcW w:w="524" w:type="pct"/>
          </w:tcPr>
          <w:p w:rsidR="00E659A9" w:rsidRPr="00954456" w:rsidRDefault="00E659A9" w:rsidP="001731FC">
            <w:pPr>
              <w:jc w:val="center"/>
              <w:rPr>
                <w:sz w:val="18"/>
                <w:szCs w:val="18"/>
              </w:rPr>
            </w:pPr>
            <w:r w:rsidRPr="00954456">
              <w:rPr>
                <w:sz w:val="18"/>
                <w:szCs w:val="18"/>
              </w:rPr>
              <w:t>7,8</w:t>
            </w:r>
            <w:r w:rsidRPr="00954456">
              <w:rPr>
                <w:rFonts w:cstheme="minorHAnsi"/>
                <w:sz w:val="18"/>
                <w:szCs w:val="18"/>
              </w:rPr>
              <w:t>±8,5</w:t>
            </w:r>
          </w:p>
        </w:tc>
        <w:tc>
          <w:tcPr>
            <w:tcW w:w="597" w:type="pct"/>
          </w:tcPr>
          <w:p w:rsidR="00E659A9" w:rsidRPr="00954456" w:rsidRDefault="00E659A9" w:rsidP="001731FC">
            <w:pPr>
              <w:jc w:val="center"/>
              <w:rPr>
                <w:sz w:val="18"/>
                <w:szCs w:val="18"/>
              </w:rPr>
            </w:pPr>
            <w:r w:rsidRPr="00954456">
              <w:rPr>
                <w:sz w:val="18"/>
                <w:szCs w:val="18"/>
              </w:rPr>
              <w:t>9,7</w:t>
            </w:r>
            <w:r w:rsidRPr="00954456">
              <w:rPr>
                <w:rFonts w:cstheme="minorHAnsi"/>
                <w:sz w:val="18"/>
                <w:szCs w:val="18"/>
              </w:rPr>
              <w:t>±8,5</w:t>
            </w:r>
          </w:p>
        </w:tc>
        <w:tc>
          <w:tcPr>
            <w:tcW w:w="598" w:type="pct"/>
          </w:tcPr>
          <w:p w:rsidR="00E659A9" w:rsidRPr="00461F9A" w:rsidRDefault="00E659A9" w:rsidP="001731FC">
            <w:pPr>
              <w:jc w:val="center"/>
              <w:rPr>
                <w:sz w:val="18"/>
                <w:szCs w:val="18"/>
              </w:rPr>
            </w:pPr>
            <w:r w:rsidRPr="00461F9A">
              <w:rPr>
                <w:sz w:val="18"/>
                <w:szCs w:val="18"/>
              </w:rPr>
              <w:t>7,0</w:t>
            </w:r>
            <w:r w:rsidRPr="00461F9A">
              <w:rPr>
                <w:rFonts w:cstheme="minorHAnsi"/>
                <w:sz w:val="18"/>
                <w:szCs w:val="18"/>
              </w:rPr>
              <w:t>±7,3</w:t>
            </w:r>
          </w:p>
        </w:tc>
        <w:tc>
          <w:tcPr>
            <w:tcW w:w="597" w:type="pct"/>
          </w:tcPr>
          <w:p w:rsidR="00E659A9" w:rsidRPr="00954456" w:rsidRDefault="00E659A9" w:rsidP="001731FC">
            <w:pPr>
              <w:jc w:val="center"/>
              <w:rPr>
                <w:sz w:val="18"/>
                <w:szCs w:val="18"/>
              </w:rPr>
            </w:pPr>
            <w:r w:rsidRPr="00954456">
              <w:rPr>
                <w:sz w:val="18"/>
                <w:szCs w:val="18"/>
              </w:rPr>
              <w:t>10,4</w:t>
            </w:r>
            <w:r w:rsidRPr="00954456">
              <w:rPr>
                <w:rFonts w:cstheme="minorHAnsi"/>
                <w:sz w:val="18"/>
                <w:szCs w:val="18"/>
              </w:rPr>
              <w:t>±8,0</w:t>
            </w:r>
          </w:p>
        </w:tc>
        <w:tc>
          <w:tcPr>
            <w:tcW w:w="597" w:type="pct"/>
          </w:tcPr>
          <w:p w:rsidR="00E659A9" w:rsidRPr="00954456" w:rsidRDefault="00E659A9" w:rsidP="001731FC">
            <w:pPr>
              <w:jc w:val="center"/>
              <w:rPr>
                <w:sz w:val="18"/>
                <w:szCs w:val="18"/>
              </w:rPr>
            </w:pPr>
            <w:r w:rsidRPr="00954456">
              <w:rPr>
                <w:sz w:val="18"/>
                <w:szCs w:val="18"/>
              </w:rPr>
              <w:t>7,9</w:t>
            </w:r>
            <w:r w:rsidRPr="00954456">
              <w:rPr>
                <w:rFonts w:cstheme="minorHAnsi"/>
                <w:sz w:val="18"/>
                <w:szCs w:val="18"/>
              </w:rPr>
              <w:t>±8,2</w:t>
            </w:r>
          </w:p>
        </w:tc>
      </w:tr>
      <w:tr w:rsidR="00E659A9" w:rsidRPr="00954456" w:rsidTr="009E5AE5">
        <w:tc>
          <w:tcPr>
            <w:tcW w:w="1565" w:type="pct"/>
          </w:tcPr>
          <w:p w:rsidR="00E659A9" w:rsidRPr="00954456" w:rsidRDefault="00E659A9" w:rsidP="001731FC">
            <w:pPr>
              <w:rPr>
                <w:sz w:val="18"/>
                <w:szCs w:val="18"/>
              </w:rPr>
            </w:pPr>
            <w:r w:rsidRPr="00954456">
              <w:rPr>
                <w:sz w:val="18"/>
                <w:szCs w:val="18"/>
              </w:rPr>
              <w:t>POST-BUBBLE %</w:t>
            </w:r>
            <w:r w:rsidRPr="00954456">
              <w:rPr>
                <w:sz w:val="18"/>
                <w:szCs w:val="18"/>
              </w:rPr>
              <w:sym w:font="Symbol" w:char="F0AF"/>
            </w:r>
            <w:r w:rsidRPr="00954456">
              <w:rPr>
                <w:sz w:val="18"/>
                <w:szCs w:val="18"/>
              </w:rPr>
              <w:t xml:space="preserve"> dip (faz-2) PCA all</w:t>
            </w:r>
          </w:p>
        </w:tc>
        <w:tc>
          <w:tcPr>
            <w:tcW w:w="522" w:type="pct"/>
          </w:tcPr>
          <w:p w:rsidR="00E659A9" w:rsidRPr="00954456" w:rsidRDefault="00E659A9" w:rsidP="001731FC">
            <w:pPr>
              <w:jc w:val="center"/>
              <w:rPr>
                <w:sz w:val="18"/>
                <w:szCs w:val="18"/>
              </w:rPr>
            </w:pPr>
            <w:r w:rsidRPr="00954456">
              <w:rPr>
                <w:sz w:val="18"/>
                <w:szCs w:val="18"/>
              </w:rPr>
              <w:t>12,3</w:t>
            </w:r>
            <w:r w:rsidRPr="00954456">
              <w:rPr>
                <w:rFonts w:cstheme="minorHAnsi"/>
                <w:sz w:val="18"/>
                <w:szCs w:val="18"/>
              </w:rPr>
              <w:t>±6,2</w:t>
            </w:r>
          </w:p>
        </w:tc>
        <w:tc>
          <w:tcPr>
            <w:tcW w:w="524" w:type="pct"/>
          </w:tcPr>
          <w:p w:rsidR="00E659A9" w:rsidRPr="00954456" w:rsidRDefault="00E659A9" w:rsidP="001731FC">
            <w:pPr>
              <w:jc w:val="center"/>
              <w:rPr>
                <w:sz w:val="18"/>
                <w:szCs w:val="18"/>
              </w:rPr>
            </w:pPr>
            <w:r w:rsidRPr="00954456">
              <w:rPr>
                <w:sz w:val="18"/>
                <w:szCs w:val="18"/>
              </w:rPr>
              <w:t>12,2</w:t>
            </w:r>
            <w:r w:rsidRPr="00954456">
              <w:rPr>
                <w:rFonts w:cstheme="minorHAnsi"/>
                <w:sz w:val="18"/>
                <w:szCs w:val="18"/>
              </w:rPr>
              <w:t>±7,6</w:t>
            </w:r>
          </w:p>
        </w:tc>
        <w:tc>
          <w:tcPr>
            <w:tcW w:w="597" w:type="pct"/>
          </w:tcPr>
          <w:p w:rsidR="00E659A9" w:rsidRPr="00954456" w:rsidRDefault="00E659A9" w:rsidP="001731FC">
            <w:pPr>
              <w:jc w:val="center"/>
              <w:rPr>
                <w:sz w:val="18"/>
                <w:szCs w:val="18"/>
              </w:rPr>
            </w:pPr>
            <w:r w:rsidRPr="00954456">
              <w:rPr>
                <w:sz w:val="18"/>
                <w:szCs w:val="18"/>
              </w:rPr>
              <w:t>11,9</w:t>
            </w:r>
            <w:r w:rsidRPr="00954456">
              <w:rPr>
                <w:rFonts w:cstheme="minorHAnsi"/>
                <w:sz w:val="18"/>
                <w:szCs w:val="18"/>
              </w:rPr>
              <w:t>±7,2</w:t>
            </w:r>
          </w:p>
        </w:tc>
        <w:tc>
          <w:tcPr>
            <w:tcW w:w="598" w:type="pct"/>
          </w:tcPr>
          <w:p w:rsidR="00E659A9" w:rsidRPr="00461F9A" w:rsidRDefault="00E659A9" w:rsidP="001731FC">
            <w:pPr>
              <w:jc w:val="center"/>
              <w:rPr>
                <w:sz w:val="18"/>
                <w:szCs w:val="18"/>
              </w:rPr>
            </w:pPr>
            <w:r w:rsidRPr="00461F9A">
              <w:rPr>
                <w:sz w:val="18"/>
                <w:szCs w:val="18"/>
              </w:rPr>
              <w:t>12,9</w:t>
            </w:r>
            <w:r w:rsidRPr="00461F9A">
              <w:rPr>
                <w:rFonts w:cstheme="minorHAnsi"/>
                <w:sz w:val="18"/>
                <w:szCs w:val="18"/>
              </w:rPr>
              <w:t>±6,3</w:t>
            </w:r>
          </w:p>
        </w:tc>
        <w:tc>
          <w:tcPr>
            <w:tcW w:w="597" w:type="pct"/>
          </w:tcPr>
          <w:p w:rsidR="00E659A9" w:rsidRPr="00954456" w:rsidRDefault="00E659A9" w:rsidP="001731FC">
            <w:pPr>
              <w:jc w:val="center"/>
              <w:rPr>
                <w:sz w:val="18"/>
                <w:szCs w:val="18"/>
              </w:rPr>
            </w:pPr>
            <w:r w:rsidRPr="00954456">
              <w:rPr>
                <w:sz w:val="18"/>
                <w:szCs w:val="18"/>
              </w:rPr>
              <w:t>12,0</w:t>
            </w:r>
            <w:r w:rsidRPr="00954456">
              <w:rPr>
                <w:rFonts w:cstheme="minorHAnsi"/>
                <w:sz w:val="18"/>
                <w:szCs w:val="18"/>
              </w:rPr>
              <w:t>±6,4</w:t>
            </w:r>
          </w:p>
        </w:tc>
        <w:tc>
          <w:tcPr>
            <w:tcW w:w="597" w:type="pct"/>
          </w:tcPr>
          <w:p w:rsidR="00E659A9" w:rsidRPr="00954456" w:rsidRDefault="00E659A9" w:rsidP="001731FC">
            <w:pPr>
              <w:jc w:val="center"/>
              <w:rPr>
                <w:sz w:val="18"/>
                <w:szCs w:val="18"/>
              </w:rPr>
            </w:pPr>
            <w:r w:rsidRPr="00954456">
              <w:rPr>
                <w:sz w:val="18"/>
                <w:szCs w:val="18"/>
              </w:rPr>
              <w:t>12,4</w:t>
            </w:r>
            <w:r w:rsidRPr="00954456">
              <w:rPr>
                <w:rFonts w:cstheme="minorHAnsi"/>
                <w:sz w:val="18"/>
                <w:szCs w:val="18"/>
              </w:rPr>
              <w:t>±7,2</w:t>
            </w:r>
          </w:p>
        </w:tc>
      </w:tr>
      <w:tr w:rsidR="00E659A9" w:rsidRPr="00954456" w:rsidTr="009E5AE5">
        <w:tc>
          <w:tcPr>
            <w:tcW w:w="1565" w:type="pct"/>
            <w:shd w:val="clear" w:color="auto" w:fill="F2F2F2" w:themeFill="background1" w:themeFillShade="F2"/>
          </w:tcPr>
          <w:p w:rsidR="00E659A9" w:rsidRPr="00954456" w:rsidRDefault="00E659A9" w:rsidP="001731FC">
            <w:pPr>
              <w:rPr>
                <w:sz w:val="18"/>
                <w:szCs w:val="18"/>
              </w:rPr>
            </w:pPr>
            <w:r w:rsidRPr="00954456">
              <w:rPr>
                <w:sz w:val="18"/>
                <w:szCs w:val="18"/>
              </w:rPr>
              <w:t>P</w:t>
            </w:r>
          </w:p>
        </w:tc>
        <w:tc>
          <w:tcPr>
            <w:tcW w:w="522"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0,135</w:t>
            </w:r>
          </w:p>
        </w:tc>
        <w:tc>
          <w:tcPr>
            <w:tcW w:w="524"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0,055</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0,194</w:t>
            </w:r>
          </w:p>
        </w:tc>
        <w:tc>
          <w:tcPr>
            <w:tcW w:w="598"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0,039</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0,449</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0,011</w:t>
            </w:r>
          </w:p>
        </w:tc>
      </w:tr>
      <w:tr w:rsidR="00E659A9" w:rsidRPr="00954456" w:rsidTr="009E5AE5">
        <w:tc>
          <w:tcPr>
            <w:tcW w:w="1565" w:type="pct"/>
          </w:tcPr>
          <w:p w:rsidR="00E659A9" w:rsidRPr="00954456" w:rsidRDefault="00E659A9" w:rsidP="001731FC">
            <w:pPr>
              <w:rPr>
                <w:sz w:val="18"/>
                <w:szCs w:val="18"/>
              </w:rPr>
            </w:pPr>
            <w:r w:rsidRPr="00954456">
              <w:rPr>
                <w:sz w:val="18"/>
                <w:szCs w:val="18"/>
              </w:rPr>
              <w:t>PRE-BUBBLE %</w:t>
            </w:r>
            <w:r w:rsidRPr="00954456">
              <w:rPr>
                <w:sz w:val="18"/>
                <w:szCs w:val="18"/>
              </w:rPr>
              <w:sym w:font="Symbol" w:char="F0AF"/>
            </w:r>
            <w:r w:rsidRPr="00954456">
              <w:rPr>
                <w:sz w:val="18"/>
                <w:szCs w:val="18"/>
              </w:rPr>
              <w:t xml:space="preserve"> dip (faz-2) PCA ipsil.</w:t>
            </w:r>
          </w:p>
        </w:tc>
        <w:tc>
          <w:tcPr>
            <w:tcW w:w="522" w:type="pct"/>
          </w:tcPr>
          <w:p w:rsidR="00E659A9" w:rsidRPr="00954456" w:rsidRDefault="00E659A9" w:rsidP="001731FC">
            <w:pPr>
              <w:jc w:val="center"/>
              <w:rPr>
                <w:sz w:val="18"/>
                <w:szCs w:val="18"/>
              </w:rPr>
            </w:pPr>
            <w:r w:rsidRPr="00954456">
              <w:rPr>
                <w:sz w:val="18"/>
                <w:szCs w:val="18"/>
              </w:rPr>
              <w:t>9,5</w:t>
            </w:r>
            <w:r w:rsidRPr="00954456">
              <w:rPr>
                <w:rFonts w:cstheme="minorHAnsi"/>
                <w:sz w:val="18"/>
                <w:szCs w:val="18"/>
              </w:rPr>
              <w:t>±8,5</w:t>
            </w:r>
          </w:p>
        </w:tc>
        <w:tc>
          <w:tcPr>
            <w:tcW w:w="524" w:type="pct"/>
          </w:tcPr>
          <w:p w:rsidR="00E659A9" w:rsidRPr="00954456" w:rsidRDefault="00E659A9" w:rsidP="001731FC">
            <w:pPr>
              <w:jc w:val="center"/>
              <w:rPr>
                <w:sz w:val="18"/>
                <w:szCs w:val="18"/>
              </w:rPr>
            </w:pPr>
            <w:r w:rsidRPr="00954456">
              <w:rPr>
                <w:sz w:val="18"/>
                <w:szCs w:val="18"/>
              </w:rPr>
              <w:t>7,5</w:t>
            </w:r>
            <w:r w:rsidRPr="00954456">
              <w:rPr>
                <w:rFonts w:cstheme="minorHAnsi"/>
                <w:sz w:val="18"/>
                <w:szCs w:val="18"/>
              </w:rPr>
              <w:t>±9,2</w:t>
            </w:r>
          </w:p>
        </w:tc>
        <w:tc>
          <w:tcPr>
            <w:tcW w:w="597" w:type="pct"/>
          </w:tcPr>
          <w:p w:rsidR="00E659A9" w:rsidRPr="00954456" w:rsidRDefault="00E659A9" w:rsidP="001731FC">
            <w:pPr>
              <w:jc w:val="center"/>
              <w:rPr>
                <w:sz w:val="18"/>
                <w:szCs w:val="18"/>
              </w:rPr>
            </w:pPr>
            <w:r w:rsidRPr="00954456">
              <w:rPr>
                <w:sz w:val="18"/>
                <w:szCs w:val="18"/>
              </w:rPr>
              <w:t>8,4</w:t>
            </w:r>
            <w:r w:rsidRPr="00954456">
              <w:rPr>
                <w:rFonts w:cstheme="minorHAnsi"/>
                <w:sz w:val="18"/>
                <w:szCs w:val="18"/>
              </w:rPr>
              <w:t>±9,0</w:t>
            </w:r>
          </w:p>
        </w:tc>
        <w:tc>
          <w:tcPr>
            <w:tcW w:w="598" w:type="pct"/>
          </w:tcPr>
          <w:p w:rsidR="00E659A9" w:rsidRPr="00954456" w:rsidRDefault="00E659A9" w:rsidP="001731FC">
            <w:pPr>
              <w:jc w:val="center"/>
              <w:rPr>
                <w:sz w:val="18"/>
                <w:szCs w:val="18"/>
              </w:rPr>
            </w:pPr>
            <w:r w:rsidRPr="00954456">
              <w:rPr>
                <w:sz w:val="18"/>
                <w:szCs w:val="18"/>
              </w:rPr>
              <w:t>8,7</w:t>
            </w:r>
            <w:r w:rsidRPr="00954456">
              <w:rPr>
                <w:rFonts w:cstheme="minorHAnsi"/>
                <w:sz w:val="18"/>
                <w:szCs w:val="18"/>
              </w:rPr>
              <w:t>±8,9</w:t>
            </w:r>
          </w:p>
        </w:tc>
        <w:tc>
          <w:tcPr>
            <w:tcW w:w="597" w:type="pct"/>
          </w:tcPr>
          <w:p w:rsidR="00E659A9" w:rsidRPr="00954456" w:rsidRDefault="00E659A9" w:rsidP="001731FC">
            <w:pPr>
              <w:jc w:val="center"/>
              <w:rPr>
                <w:sz w:val="18"/>
                <w:szCs w:val="18"/>
              </w:rPr>
            </w:pPr>
            <w:r w:rsidRPr="00954456">
              <w:rPr>
                <w:sz w:val="18"/>
                <w:szCs w:val="18"/>
              </w:rPr>
              <w:t>9,1</w:t>
            </w:r>
            <w:r w:rsidRPr="00954456">
              <w:rPr>
                <w:rFonts w:cstheme="minorHAnsi"/>
                <w:sz w:val="18"/>
                <w:szCs w:val="18"/>
              </w:rPr>
              <w:t>±7,6</w:t>
            </w:r>
          </w:p>
        </w:tc>
        <w:tc>
          <w:tcPr>
            <w:tcW w:w="597" w:type="pct"/>
          </w:tcPr>
          <w:p w:rsidR="00E659A9" w:rsidRPr="00954456" w:rsidRDefault="00E659A9" w:rsidP="001731FC">
            <w:pPr>
              <w:jc w:val="center"/>
              <w:rPr>
                <w:sz w:val="18"/>
                <w:szCs w:val="18"/>
              </w:rPr>
            </w:pPr>
            <w:r w:rsidRPr="00954456">
              <w:rPr>
                <w:sz w:val="18"/>
                <w:szCs w:val="18"/>
              </w:rPr>
              <w:t>8,2</w:t>
            </w:r>
            <w:r w:rsidRPr="00954456">
              <w:rPr>
                <w:rFonts w:cstheme="minorHAnsi"/>
                <w:sz w:val="18"/>
                <w:szCs w:val="18"/>
              </w:rPr>
              <w:t>±9,5</w:t>
            </w:r>
          </w:p>
        </w:tc>
      </w:tr>
      <w:tr w:rsidR="00E659A9" w:rsidRPr="00954456" w:rsidTr="009E5AE5">
        <w:tc>
          <w:tcPr>
            <w:tcW w:w="1565" w:type="pct"/>
          </w:tcPr>
          <w:p w:rsidR="00E659A9" w:rsidRPr="00954456" w:rsidRDefault="00E659A9" w:rsidP="001731FC">
            <w:pPr>
              <w:rPr>
                <w:sz w:val="18"/>
                <w:szCs w:val="18"/>
              </w:rPr>
            </w:pPr>
            <w:r w:rsidRPr="00954456">
              <w:rPr>
                <w:sz w:val="18"/>
                <w:szCs w:val="18"/>
              </w:rPr>
              <w:t>POST-BUBBLE %</w:t>
            </w:r>
            <w:r w:rsidRPr="00954456">
              <w:rPr>
                <w:sz w:val="18"/>
                <w:szCs w:val="18"/>
              </w:rPr>
              <w:sym w:font="Symbol" w:char="F0AF"/>
            </w:r>
            <w:r w:rsidRPr="00954456">
              <w:rPr>
                <w:sz w:val="18"/>
                <w:szCs w:val="18"/>
              </w:rPr>
              <w:t xml:space="preserve"> dip (faz-2) PCA ipsi.</w:t>
            </w:r>
          </w:p>
        </w:tc>
        <w:tc>
          <w:tcPr>
            <w:tcW w:w="522" w:type="pct"/>
          </w:tcPr>
          <w:p w:rsidR="00E659A9" w:rsidRPr="00954456" w:rsidRDefault="00E659A9" w:rsidP="001731FC">
            <w:pPr>
              <w:jc w:val="center"/>
              <w:rPr>
                <w:sz w:val="18"/>
                <w:szCs w:val="18"/>
              </w:rPr>
            </w:pPr>
            <w:r w:rsidRPr="00954456">
              <w:rPr>
                <w:sz w:val="18"/>
                <w:szCs w:val="18"/>
              </w:rPr>
              <w:t>11,7</w:t>
            </w:r>
            <w:r w:rsidRPr="00954456">
              <w:rPr>
                <w:rFonts w:cstheme="minorHAnsi"/>
                <w:sz w:val="18"/>
                <w:szCs w:val="18"/>
              </w:rPr>
              <w:t>±7,9</w:t>
            </w:r>
          </w:p>
        </w:tc>
        <w:tc>
          <w:tcPr>
            <w:tcW w:w="524" w:type="pct"/>
          </w:tcPr>
          <w:p w:rsidR="00E659A9" w:rsidRPr="00954456" w:rsidRDefault="00E659A9" w:rsidP="001731FC">
            <w:pPr>
              <w:jc w:val="center"/>
              <w:rPr>
                <w:sz w:val="18"/>
                <w:szCs w:val="18"/>
              </w:rPr>
            </w:pPr>
            <w:r w:rsidRPr="00954456">
              <w:rPr>
                <w:sz w:val="18"/>
                <w:szCs w:val="18"/>
              </w:rPr>
              <w:t>10,2</w:t>
            </w:r>
            <w:r w:rsidRPr="00954456">
              <w:rPr>
                <w:rFonts w:cstheme="minorHAnsi"/>
                <w:sz w:val="18"/>
                <w:szCs w:val="18"/>
              </w:rPr>
              <w:t>±7,1</w:t>
            </w:r>
          </w:p>
        </w:tc>
        <w:tc>
          <w:tcPr>
            <w:tcW w:w="597" w:type="pct"/>
          </w:tcPr>
          <w:p w:rsidR="00E659A9" w:rsidRPr="00954456" w:rsidRDefault="00E659A9" w:rsidP="001731FC">
            <w:pPr>
              <w:jc w:val="center"/>
              <w:rPr>
                <w:sz w:val="18"/>
                <w:szCs w:val="18"/>
              </w:rPr>
            </w:pPr>
            <w:r w:rsidRPr="00954456">
              <w:rPr>
                <w:sz w:val="18"/>
                <w:szCs w:val="18"/>
              </w:rPr>
              <w:t>9,9</w:t>
            </w:r>
            <w:r w:rsidRPr="00954456">
              <w:rPr>
                <w:rFonts w:cstheme="minorHAnsi"/>
                <w:sz w:val="18"/>
                <w:szCs w:val="18"/>
              </w:rPr>
              <w:t>±7,6</w:t>
            </w:r>
          </w:p>
        </w:tc>
        <w:tc>
          <w:tcPr>
            <w:tcW w:w="598" w:type="pct"/>
          </w:tcPr>
          <w:p w:rsidR="00E659A9" w:rsidRPr="00954456" w:rsidRDefault="00E659A9" w:rsidP="001731FC">
            <w:pPr>
              <w:jc w:val="center"/>
              <w:rPr>
                <w:sz w:val="18"/>
                <w:szCs w:val="18"/>
              </w:rPr>
            </w:pPr>
            <w:r w:rsidRPr="00954456">
              <w:rPr>
                <w:sz w:val="18"/>
                <w:szCs w:val="18"/>
              </w:rPr>
              <w:t>12,6</w:t>
            </w:r>
            <w:r w:rsidRPr="00954456">
              <w:rPr>
                <w:rFonts w:cstheme="minorHAnsi"/>
                <w:sz w:val="18"/>
                <w:szCs w:val="18"/>
              </w:rPr>
              <w:t>±7,1</w:t>
            </w:r>
          </w:p>
        </w:tc>
        <w:tc>
          <w:tcPr>
            <w:tcW w:w="597" w:type="pct"/>
          </w:tcPr>
          <w:p w:rsidR="00E659A9" w:rsidRPr="00954456" w:rsidRDefault="00E659A9" w:rsidP="001731FC">
            <w:pPr>
              <w:jc w:val="center"/>
              <w:rPr>
                <w:sz w:val="18"/>
                <w:szCs w:val="18"/>
              </w:rPr>
            </w:pPr>
            <w:r w:rsidRPr="00954456">
              <w:rPr>
                <w:sz w:val="18"/>
                <w:szCs w:val="18"/>
              </w:rPr>
              <w:t>11,1</w:t>
            </w:r>
            <w:r w:rsidRPr="00954456">
              <w:rPr>
                <w:rFonts w:cstheme="minorHAnsi"/>
                <w:sz w:val="18"/>
                <w:szCs w:val="18"/>
              </w:rPr>
              <w:t>±8,6</w:t>
            </w:r>
          </w:p>
        </w:tc>
        <w:tc>
          <w:tcPr>
            <w:tcW w:w="597" w:type="pct"/>
          </w:tcPr>
          <w:p w:rsidR="00E659A9" w:rsidRPr="00954456" w:rsidRDefault="00E659A9" w:rsidP="001731FC">
            <w:pPr>
              <w:jc w:val="center"/>
              <w:rPr>
                <w:sz w:val="18"/>
                <w:szCs w:val="18"/>
              </w:rPr>
            </w:pPr>
            <w:r w:rsidRPr="00954456">
              <w:rPr>
                <w:sz w:val="18"/>
                <w:szCs w:val="18"/>
              </w:rPr>
              <w:t>10,9</w:t>
            </w:r>
            <w:r w:rsidRPr="00954456">
              <w:rPr>
                <w:rFonts w:cstheme="minorHAnsi"/>
                <w:sz w:val="18"/>
                <w:szCs w:val="18"/>
              </w:rPr>
              <w:t>±7,0</w:t>
            </w:r>
          </w:p>
        </w:tc>
      </w:tr>
      <w:tr w:rsidR="00E659A9" w:rsidRPr="00954456" w:rsidTr="009E5AE5">
        <w:tc>
          <w:tcPr>
            <w:tcW w:w="1565" w:type="pct"/>
            <w:shd w:val="clear" w:color="auto" w:fill="F2F2F2" w:themeFill="background1" w:themeFillShade="F2"/>
          </w:tcPr>
          <w:p w:rsidR="00E659A9" w:rsidRPr="00954456" w:rsidRDefault="00E659A9" w:rsidP="001731FC">
            <w:pPr>
              <w:rPr>
                <w:sz w:val="18"/>
                <w:szCs w:val="18"/>
              </w:rPr>
            </w:pPr>
            <w:r w:rsidRPr="00954456">
              <w:rPr>
                <w:sz w:val="18"/>
                <w:szCs w:val="18"/>
              </w:rPr>
              <w:t>P</w:t>
            </w:r>
          </w:p>
        </w:tc>
        <w:tc>
          <w:tcPr>
            <w:tcW w:w="522"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0,381</w:t>
            </w:r>
          </w:p>
        </w:tc>
        <w:tc>
          <w:tcPr>
            <w:tcW w:w="524"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0,257</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0,459</w:t>
            </w:r>
          </w:p>
        </w:tc>
        <w:tc>
          <w:tcPr>
            <w:tcW w:w="598"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0,179</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0,523</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0,198</w:t>
            </w:r>
          </w:p>
        </w:tc>
      </w:tr>
      <w:tr w:rsidR="00E659A9" w:rsidRPr="00954456" w:rsidTr="009E5AE5">
        <w:tc>
          <w:tcPr>
            <w:tcW w:w="1565" w:type="pct"/>
          </w:tcPr>
          <w:p w:rsidR="00E659A9" w:rsidRPr="00954456" w:rsidRDefault="00E659A9" w:rsidP="001731FC">
            <w:pPr>
              <w:rPr>
                <w:sz w:val="18"/>
                <w:szCs w:val="18"/>
              </w:rPr>
            </w:pPr>
            <w:r w:rsidRPr="00954456">
              <w:rPr>
                <w:sz w:val="18"/>
                <w:szCs w:val="18"/>
              </w:rPr>
              <w:t>PRE-BUBBLE %</w:t>
            </w:r>
            <w:r w:rsidRPr="00954456">
              <w:rPr>
                <w:sz w:val="18"/>
                <w:szCs w:val="18"/>
              </w:rPr>
              <w:sym w:font="Symbol" w:char="F0AF"/>
            </w:r>
            <w:r w:rsidRPr="00954456">
              <w:rPr>
                <w:sz w:val="18"/>
                <w:szCs w:val="18"/>
              </w:rPr>
              <w:t xml:space="preserve"> dip (faz-2) PCA cont.</w:t>
            </w:r>
          </w:p>
        </w:tc>
        <w:tc>
          <w:tcPr>
            <w:tcW w:w="522" w:type="pct"/>
          </w:tcPr>
          <w:p w:rsidR="00E659A9" w:rsidRPr="00954456" w:rsidRDefault="00E659A9" w:rsidP="001731FC">
            <w:pPr>
              <w:jc w:val="center"/>
              <w:rPr>
                <w:sz w:val="18"/>
                <w:szCs w:val="18"/>
              </w:rPr>
            </w:pPr>
            <w:r w:rsidRPr="00954456">
              <w:rPr>
                <w:sz w:val="18"/>
                <w:szCs w:val="18"/>
              </w:rPr>
              <w:t>9,8</w:t>
            </w:r>
            <w:r w:rsidRPr="00954456">
              <w:rPr>
                <w:rFonts w:cstheme="minorHAnsi"/>
                <w:sz w:val="18"/>
                <w:szCs w:val="18"/>
              </w:rPr>
              <w:t>±8,9</w:t>
            </w:r>
          </w:p>
        </w:tc>
        <w:tc>
          <w:tcPr>
            <w:tcW w:w="524" w:type="pct"/>
          </w:tcPr>
          <w:p w:rsidR="00E659A9" w:rsidRPr="00954456" w:rsidRDefault="00E659A9" w:rsidP="001731FC">
            <w:pPr>
              <w:jc w:val="center"/>
              <w:rPr>
                <w:sz w:val="18"/>
                <w:szCs w:val="18"/>
              </w:rPr>
            </w:pPr>
            <w:r w:rsidRPr="00954456">
              <w:rPr>
                <w:sz w:val="18"/>
                <w:szCs w:val="18"/>
              </w:rPr>
              <w:t>8,4</w:t>
            </w:r>
            <w:r w:rsidRPr="00954456">
              <w:rPr>
                <w:rFonts w:cstheme="minorHAnsi"/>
                <w:sz w:val="18"/>
                <w:szCs w:val="18"/>
              </w:rPr>
              <w:t>±8,6</w:t>
            </w:r>
          </w:p>
        </w:tc>
        <w:tc>
          <w:tcPr>
            <w:tcW w:w="597" w:type="pct"/>
          </w:tcPr>
          <w:p w:rsidR="00E659A9" w:rsidRPr="00954456" w:rsidRDefault="00E659A9" w:rsidP="001731FC">
            <w:pPr>
              <w:jc w:val="center"/>
              <w:rPr>
                <w:sz w:val="18"/>
                <w:szCs w:val="18"/>
              </w:rPr>
            </w:pPr>
            <w:r w:rsidRPr="00954456">
              <w:rPr>
                <w:sz w:val="18"/>
                <w:szCs w:val="18"/>
              </w:rPr>
              <w:t>10,7</w:t>
            </w:r>
            <w:r w:rsidRPr="00954456">
              <w:rPr>
                <w:rFonts w:cstheme="minorHAnsi"/>
                <w:sz w:val="18"/>
                <w:szCs w:val="18"/>
              </w:rPr>
              <w:t>±9,4</w:t>
            </w:r>
          </w:p>
        </w:tc>
        <w:tc>
          <w:tcPr>
            <w:tcW w:w="598" w:type="pct"/>
          </w:tcPr>
          <w:p w:rsidR="00E659A9" w:rsidRPr="00461F9A" w:rsidRDefault="00E659A9" w:rsidP="001731FC">
            <w:pPr>
              <w:jc w:val="center"/>
              <w:rPr>
                <w:sz w:val="18"/>
                <w:szCs w:val="18"/>
              </w:rPr>
            </w:pPr>
            <w:r w:rsidRPr="00461F9A">
              <w:rPr>
                <w:sz w:val="18"/>
                <w:szCs w:val="18"/>
              </w:rPr>
              <w:t>6,1</w:t>
            </w:r>
            <w:r w:rsidRPr="00461F9A">
              <w:rPr>
                <w:rFonts w:cstheme="minorHAnsi"/>
                <w:sz w:val="18"/>
                <w:szCs w:val="18"/>
              </w:rPr>
              <w:t>±6,6</w:t>
            </w:r>
          </w:p>
        </w:tc>
        <w:tc>
          <w:tcPr>
            <w:tcW w:w="597" w:type="pct"/>
          </w:tcPr>
          <w:p w:rsidR="00E659A9" w:rsidRPr="00954456" w:rsidRDefault="00E659A9" w:rsidP="001731FC">
            <w:pPr>
              <w:jc w:val="center"/>
              <w:rPr>
                <w:sz w:val="18"/>
                <w:szCs w:val="18"/>
              </w:rPr>
            </w:pPr>
            <w:r w:rsidRPr="00954456">
              <w:rPr>
                <w:sz w:val="18"/>
                <w:szCs w:val="18"/>
              </w:rPr>
              <w:t>11,6</w:t>
            </w:r>
            <w:r w:rsidRPr="00954456">
              <w:rPr>
                <w:rFonts w:cstheme="minorHAnsi"/>
                <w:sz w:val="18"/>
                <w:szCs w:val="18"/>
              </w:rPr>
              <w:t>±9,3</w:t>
            </w:r>
          </w:p>
        </w:tc>
        <w:tc>
          <w:tcPr>
            <w:tcW w:w="597" w:type="pct"/>
          </w:tcPr>
          <w:p w:rsidR="00E659A9" w:rsidRPr="00954456" w:rsidRDefault="00E659A9" w:rsidP="001731FC">
            <w:pPr>
              <w:jc w:val="center"/>
              <w:rPr>
                <w:sz w:val="18"/>
                <w:szCs w:val="18"/>
              </w:rPr>
            </w:pPr>
            <w:r w:rsidRPr="00954456">
              <w:rPr>
                <w:sz w:val="18"/>
                <w:szCs w:val="18"/>
              </w:rPr>
              <w:t>7,9</w:t>
            </w:r>
            <w:r w:rsidRPr="00954456">
              <w:rPr>
                <w:rFonts w:cstheme="minorHAnsi"/>
                <w:sz w:val="18"/>
                <w:szCs w:val="18"/>
              </w:rPr>
              <w:t>±8,3</w:t>
            </w:r>
          </w:p>
        </w:tc>
      </w:tr>
      <w:tr w:rsidR="00E659A9" w:rsidRPr="00954456" w:rsidTr="009E5AE5">
        <w:tc>
          <w:tcPr>
            <w:tcW w:w="1565" w:type="pct"/>
          </w:tcPr>
          <w:p w:rsidR="00E659A9" w:rsidRPr="00954456" w:rsidRDefault="00E659A9" w:rsidP="001731FC">
            <w:pPr>
              <w:rPr>
                <w:sz w:val="18"/>
                <w:szCs w:val="18"/>
              </w:rPr>
            </w:pPr>
            <w:r w:rsidRPr="00954456">
              <w:rPr>
                <w:sz w:val="18"/>
                <w:szCs w:val="18"/>
              </w:rPr>
              <w:t>POST-BUBBLE %</w:t>
            </w:r>
            <w:r w:rsidRPr="00954456">
              <w:rPr>
                <w:sz w:val="18"/>
                <w:szCs w:val="18"/>
              </w:rPr>
              <w:sym w:font="Symbol" w:char="F0AF"/>
            </w:r>
            <w:r w:rsidRPr="00954456">
              <w:rPr>
                <w:sz w:val="18"/>
                <w:szCs w:val="18"/>
              </w:rPr>
              <w:t xml:space="preserve"> dip(faz-2)PCA cont.</w:t>
            </w:r>
          </w:p>
        </w:tc>
        <w:tc>
          <w:tcPr>
            <w:tcW w:w="522" w:type="pct"/>
          </w:tcPr>
          <w:p w:rsidR="00E659A9" w:rsidRPr="00954456" w:rsidRDefault="00E659A9" w:rsidP="001731FC">
            <w:pPr>
              <w:jc w:val="center"/>
              <w:rPr>
                <w:sz w:val="18"/>
                <w:szCs w:val="18"/>
              </w:rPr>
            </w:pPr>
            <w:r w:rsidRPr="00954456">
              <w:rPr>
                <w:sz w:val="18"/>
                <w:szCs w:val="18"/>
              </w:rPr>
              <w:t>12,9</w:t>
            </w:r>
            <w:r w:rsidRPr="00954456">
              <w:rPr>
                <w:rFonts w:cstheme="minorHAnsi"/>
                <w:sz w:val="18"/>
                <w:szCs w:val="18"/>
              </w:rPr>
              <w:t>±6,6</w:t>
            </w:r>
          </w:p>
        </w:tc>
        <w:tc>
          <w:tcPr>
            <w:tcW w:w="524" w:type="pct"/>
          </w:tcPr>
          <w:p w:rsidR="00E659A9" w:rsidRPr="00954456" w:rsidRDefault="00E659A9" w:rsidP="001731FC">
            <w:pPr>
              <w:jc w:val="center"/>
              <w:rPr>
                <w:sz w:val="18"/>
                <w:szCs w:val="18"/>
              </w:rPr>
            </w:pPr>
            <w:r w:rsidRPr="00954456">
              <w:rPr>
                <w:sz w:val="18"/>
                <w:szCs w:val="18"/>
              </w:rPr>
              <w:t>13,0</w:t>
            </w:r>
            <w:r w:rsidRPr="00954456">
              <w:rPr>
                <w:rFonts w:cstheme="minorHAnsi"/>
                <w:sz w:val="18"/>
                <w:szCs w:val="18"/>
              </w:rPr>
              <w:t>±7,4</w:t>
            </w:r>
          </w:p>
        </w:tc>
        <w:tc>
          <w:tcPr>
            <w:tcW w:w="597" w:type="pct"/>
          </w:tcPr>
          <w:p w:rsidR="00E659A9" w:rsidRPr="00954456" w:rsidRDefault="00E659A9" w:rsidP="001731FC">
            <w:pPr>
              <w:jc w:val="center"/>
              <w:rPr>
                <w:sz w:val="18"/>
                <w:szCs w:val="18"/>
              </w:rPr>
            </w:pPr>
            <w:r w:rsidRPr="00954456">
              <w:rPr>
                <w:sz w:val="18"/>
                <w:szCs w:val="18"/>
              </w:rPr>
              <w:t>12,9</w:t>
            </w:r>
            <w:r w:rsidRPr="00954456">
              <w:rPr>
                <w:rFonts w:cstheme="minorHAnsi"/>
                <w:sz w:val="18"/>
                <w:szCs w:val="18"/>
              </w:rPr>
              <w:t>±7,2</w:t>
            </w:r>
          </w:p>
        </w:tc>
        <w:tc>
          <w:tcPr>
            <w:tcW w:w="598" w:type="pct"/>
          </w:tcPr>
          <w:p w:rsidR="00E659A9" w:rsidRPr="00461F9A" w:rsidRDefault="00E659A9" w:rsidP="001731FC">
            <w:pPr>
              <w:jc w:val="center"/>
              <w:rPr>
                <w:sz w:val="18"/>
                <w:szCs w:val="18"/>
              </w:rPr>
            </w:pPr>
            <w:r w:rsidRPr="00461F9A">
              <w:rPr>
                <w:sz w:val="18"/>
                <w:szCs w:val="18"/>
              </w:rPr>
              <w:t>13,1</w:t>
            </w:r>
            <w:r w:rsidRPr="00461F9A">
              <w:rPr>
                <w:rFonts w:cstheme="minorHAnsi"/>
                <w:sz w:val="18"/>
                <w:szCs w:val="18"/>
              </w:rPr>
              <w:t>±6,6</w:t>
            </w:r>
          </w:p>
        </w:tc>
        <w:tc>
          <w:tcPr>
            <w:tcW w:w="597" w:type="pct"/>
          </w:tcPr>
          <w:p w:rsidR="00E659A9" w:rsidRPr="00954456" w:rsidRDefault="00E659A9" w:rsidP="001731FC">
            <w:pPr>
              <w:jc w:val="center"/>
              <w:rPr>
                <w:sz w:val="18"/>
                <w:szCs w:val="18"/>
              </w:rPr>
            </w:pPr>
            <w:r w:rsidRPr="00954456">
              <w:rPr>
                <w:sz w:val="18"/>
                <w:szCs w:val="18"/>
              </w:rPr>
              <w:t>12,9</w:t>
            </w:r>
            <w:r w:rsidRPr="00954456">
              <w:rPr>
                <w:rFonts w:cstheme="minorHAnsi"/>
                <w:sz w:val="18"/>
                <w:szCs w:val="18"/>
              </w:rPr>
              <w:t>±7,1</w:t>
            </w:r>
          </w:p>
        </w:tc>
        <w:tc>
          <w:tcPr>
            <w:tcW w:w="597" w:type="pct"/>
          </w:tcPr>
          <w:p w:rsidR="00E659A9" w:rsidRPr="00954456" w:rsidRDefault="00E659A9" w:rsidP="001731FC">
            <w:pPr>
              <w:jc w:val="center"/>
              <w:rPr>
                <w:sz w:val="18"/>
                <w:szCs w:val="18"/>
              </w:rPr>
            </w:pPr>
            <w:r w:rsidRPr="00954456">
              <w:rPr>
                <w:sz w:val="18"/>
                <w:szCs w:val="18"/>
              </w:rPr>
              <w:t>13,1</w:t>
            </w:r>
            <w:r w:rsidRPr="00954456">
              <w:rPr>
                <w:rFonts w:cstheme="minorHAnsi"/>
                <w:sz w:val="18"/>
                <w:szCs w:val="18"/>
              </w:rPr>
              <w:t>±7,0</w:t>
            </w:r>
          </w:p>
        </w:tc>
      </w:tr>
      <w:tr w:rsidR="00E659A9" w:rsidRPr="0051775B" w:rsidTr="009E5AE5">
        <w:tc>
          <w:tcPr>
            <w:tcW w:w="1565" w:type="pct"/>
            <w:shd w:val="clear" w:color="auto" w:fill="F2F2F2" w:themeFill="background1" w:themeFillShade="F2"/>
          </w:tcPr>
          <w:p w:rsidR="00E659A9" w:rsidRPr="00954456" w:rsidRDefault="00E659A9" w:rsidP="001731FC">
            <w:pPr>
              <w:rPr>
                <w:sz w:val="18"/>
                <w:szCs w:val="18"/>
              </w:rPr>
            </w:pPr>
            <w:r w:rsidRPr="00954456">
              <w:rPr>
                <w:sz w:val="18"/>
                <w:szCs w:val="18"/>
              </w:rPr>
              <w:t>P</w:t>
            </w:r>
          </w:p>
        </w:tc>
        <w:tc>
          <w:tcPr>
            <w:tcW w:w="522"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0,076</w:t>
            </w:r>
          </w:p>
        </w:tc>
        <w:tc>
          <w:tcPr>
            <w:tcW w:w="524"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0,017</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0,192</w:t>
            </w:r>
          </w:p>
        </w:tc>
        <w:tc>
          <w:tcPr>
            <w:tcW w:w="598"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0,002</w:t>
            </w:r>
          </w:p>
        </w:tc>
        <w:tc>
          <w:tcPr>
            <w:tcW w:w="597" w:type="pct"/>
            <w:shd w:val="clear" w:color="auto" w:fill="F2F2F2" w:themeFill="background1" w:themeFillShade="F2"/>
          </w:tcPr>
          <w:p w:rsidR="00E659A9" w:rsidRPr="00954456" w:rsidRDefault="00E659A9" w:rsidP="001731FC">
            <w:pPr>
              <w:jc w:val="center"/>
              <w:rPr>
                <w:sz w:val="18"/>
                <w:szCs w:val="18"/>
              </w:rPr>
            </w:pPr>
            <w:r w:rsidRPr="00954456">
              <w:rPr>
                <w:sz w:val="18"/>
                <w:szCs w:val="18"/>
              </w:rPr>
              <w:t>0,551</w:t>
            </w:r>
          </w:p>
        </w:tc>
        <w:tc>
          <w:tcPr>
            <w:tcW w:w="597" w:type="pct"/>
            <w:shd w:val="clear" w:color="auto" w:fill="F2F2F2" w:themeFill="background1" w:themeFillShade="F2"/>
          </w:tcPr>
          <w:p w:rsidR="00E659A9" w:rsidRPr="0051775B" w:rsidRDefault="00E659A9" w:rsidP="001731FC">
            <w:pPr>
              <w:jc w:val="center"/>
              <w:rPr>
                <w:sz w:val="18"/>
                <w:szCs w:val="18"/>
              </w:rPr>
            </w:pPr>
            <w:r w:rsidRPr="00954456">
              <w:rPr>
                <w:sz w:val="18"/>
                <w:szCs w:val="18"/>
              </w:rPr>
              <w:t>0,002</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dip (faz-2) 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11,0</w:t>
            </w:r>
            <w:r>
              <w:rPr>
                <w:rFonts w:cstheme="minorHAnsi"/>
                <w:sz w:val="18"/>
                <w:szCs w:val="18"/>
              </w:rPr>
              <w:t>±9,9</w:t>
            </w:r>
          </w:p>
        </w:tc>
        <w:tc>
          <w:tcPr>
            <w:tcW w:w="524" w:type="pct"/>
          </w:tcPr>
          <w:p w:rsidR="00E659A9" w:rsidRPr="0051775B" w:rsidRDefault="00E659A9" w:rsidP="001731FC">
            <w:pPr>
              <w:jc w:val="center"/>
              <w:rPr>
                <w:sz w:val="18"/>
                <w:szCs w:val="18"/>
              </w:rPr>
            </w:pPr>
            <w:r>
              <w:rPr>
                <w:sz w:val="18"/>
                <w:szCs w:val="18"/>
              </w:rPr>
              <w:t>7,3</w:t>
            </w:r>
            <w:r>
              <w:rPr>
                <w:rFonts w:cstheme="minorHAnsi"/>
                <w:sz w:val="18"/>
                <w:szCs w:val="18"/>
              </w:rPr>
              <w:t>±8,0</w:t>
            </w:r>
          </w:p>
        </w:tc>
        <w:tc>
          <w:tcPr>
            <w:tcW w:w="597" w:type="pct"/>
          </w:tcPr>
          <w:p w:rsidR="00E659A9" w:rsidRPr="0051775B" w:rsidRDefault="00E659A9" w:rsidP="001731FC">
            <w:pPr>
              <w:jc w:val="center"/>
              <w:rPr>
                <w:sz w:val="18"/>
                <w:szCs w:val="18"/>
              </w:rPr>
            </w:pPr>
            <w:r>
              <w:rPr>
                <w:sz w:val="18"/>
                <w:szCs w:val="18"/>
              </w:rPr>
              <w:t>8,8</w:t>
            </w:r>
            <w:r>
              <w:rPr>
                <w:rFonts w:cstheme="minorHAnsi"/>
                <w:sz w:val="18"/>
                <w:szCs w:val="18"/>
              </w:rPr>
              <w:t>±9,4</w:t>
            </w:r>
          </w:p>
        </w:tc>
        <w:tc>
          <w:tcPr>
            <w:tcW w:w="598" w:type="pct"/>
          </w:tcPr>
          <w:p w:rsidR="00E659A9" w:rsidRPr="0051775B" w:rsidRDefault="00E659A9" w:rsidP="001731FC">
            <w:pPr>
              <w:jc w:val="center"/>
              <w:rPr>
                <w:sz w:val="18"/>
                <w:szCs w:val="18"/>
              </w:rPr>
            </w:pPr>
            <w:r>
              <w:rPr>
                <w:sz w:val="18"/>
                <w:szCs w:val="18"/>
              </w:rPr>
              <w:t>9,3</w:t>
            </w:r>
            <w:r>
              <w:rPr>
                <w:rFonts w:cstheme="minorHAnsi"/>
                <w:sz w:val="18"/>
                <w:szCs w:val="18"/>
              </w:rPr>
              <w:t>±8,4</w:t>
            </w:r>
          </w:p>
        </w:tc>
        <w:tc>
          <w:tcPr>
            <w:tcW w:w="597" w:type="pct"/>
          </w:tcPr>
          <w:p w:rsidR="00E659A9" w:rsidRPr="0051775B" w:rsidRDefault="00E659A9" w:rsidP="001731FC">
            <w:pPr>
              <w:jc w:val="center"/>
              <w:rPr>
                <w:sz w:val="18"/>
                <w:szCs w:val="18"/>
              </w:rPr>
            </w:pPr>
            <w:r>
              <w:rPr>
                <w:sz w:val="18"/>
                <w:szCs w:val="18"/>
              </w:rPr>
              <w:t>11,4</w:t>
            </w:r>
            <w:r>
              <w:rPr>
                <w:rFonts w:cstheme="minorHAnsi"/>
                <w:sz w:val="18"/>
                <w:szCs w:val="18"/>
              </w:rPr>
              <w:t>±10,4</w:t>
            </w:r>
          </w:p>
        </w:tc>
        <w:tc>
          <w:tcPr>
            <w:tcW w:w="597" w:type="pct"/>
          </w:tcPr>
          <w:p w:rsidR="00E659A9" w:rsidRPr="0051775B" w:rsidRDefault="00E659A9" w:rsidP="001731FC">
            <w:pPr>
              <w:jc w:val="center"/>
              <w:rPr>
                <w:sz w:val="18"/>
                <w:szCs w:val="18"/>
              </w:rPr>
            </w:pPr>
            <w:r>
              <w:rPr>
                <w:sz w:val="18"/>
                <w:szCs w:val="18"/>
              </w:rPr>
              <w:t>7,9</w:t>
            </w:r>
            <w:r>
              <w:rPr>
                <w:rFonts w:cstheme="minorHAnsi"/>
                <w:sz w:val="18"/>
                <w:szCs w:val="18"/>
              </w:rPr>
              <w:t>±8,3</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dip (faz-2)</w:t>
            </w:r>
            <w:r w:rsidRPr="0051775B">
              <w:rPr>
                <w:sz w:val="18"/>
                <w:szCs w:val="18"/>
              </w:rPr>
              <w:t xml:space="preserve"> </w:t>
            </w:r>
            <w:r>
              <w:rPr>
                <w:sz w:val="18"/>
                <w:szCs w:val="18"/>
              </w:rPr>
              <w:t>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11,2</w:t>
            </w:r>
            <w:r>
              <w:rPr>
                <w:rFonts w:cstheme="minorHAnsi"/>
                <w:sz w:val="18"/>
                <w:szCs w:val="18"/>
              </w:rPr>
              <w:t>±8,5</w:t>
            </w:r>
          </w:p>
        </w:tc>
        <w:tc>
          <w:tcPr>
            <w:tcW w:w="524" w:type="pct"/>
          </w:tcPr>
          <w:p w:rsidR="00E659A9" w:rsidRPr="0051775B" w:rsidRDefault="00E659A9" w:rsidP="001731FC">
            <w:pPr>
              <w:jc w:val="center"/>
              <w:rPr>
                <w:sz w:val="18"/>
                <w:szCs w:val="18"/>
              </w:rPr>
            </w:pPr>
            <w:r>
              <w:rPr>
                <w:sz w:val="18"/>
                <w:szCs w:val="18"/>
              </w:rPr>
              <w:t>8,0</w:t>
            </w:r>
            <w:r>
              <w:rPr>
                <w:rFonts w:cstheme="minorHAnsi"/>
                <w:sz w:val="18"/>
                <w:szCs w:val="18"/>
              </w:rPr>
              <w:t>±9,2</w:t>
            </w:r>
          </w:p>
        </w:tc>
        <w:tc>
          <w:tcPr>
            <w:tcW w:w="597" w:type="pct"/>
          </w:tcPr>
          <w:p w:rsidR="00E659A9" w:rsidRPr="0051775B" w:rsidRDefault="00E659A9" w:rsidP="001731FC">
            <w:pPr>
              <w:jc w:val="center"/>
              <w:rPr>
                <w:sz w:val="18"/>
                <w:szCs w:val="18"/>
              </w:rPr>
            </w:pPr>
            <w:r>
              <w:rPr>
                <w:sz w:val="18"/>
                <w:szCs w:val="18"/>
              </w:rPr>
              <w:t>8,5</w:t>
            </w:r>
            <w:r>
              <w:rPr>
                <w:rFonts w:cstheme="minorHAnsi"/>
                <w:sz w:val="18"/>
                <w:szCs w:val="18"/>
              </w:rPr>
              <w:t>±9,7</w:t>
            </w:r>
          </w:p>
        </w:tc>
        <w:tc>
          <w:tcPr>
            <w:tcW w:w="598" w:type="pct"/>
          </w:tcPr>
          <w:p w:rsidR="00E659A9" w:rsidRPr="0051775B" w:rsidRDefault="00E659A9" w:rsidP="001731FC">
            <w:pPr>
              <w:jc w:val="center"/>
              <w:rPr>
                <w:sz w:val="18"/>
                <w:szCs w:val="18"/>
              </w:rPr>
            </w:pPr>
            <w:r>
              <w:rPr>
                <w:sz w:val="18"/>
                <w:szCs w:val="18"/>
              </w:rPr>
              <w:t>10,9</w:t>
            </w:r>
            <w:r>
              <w:rPr>
                <w:rFonts w:cstheme="minorHAnsi"/>
                <w:sz w:val="18"/>
                <w:szCs w:val="18"/>
              </w:rPr>
              <w:t>±7,2</w:t>
            </w:r>
          </w:p>
        </w:tc>
        <w:tc>
          <w:tcPr>
            <w:tcW w:w="597" w:type="pct"/>
          </w:tcPr>
          <w:p w:rsidR="00E659A9" w:rsidRPr="0051775B" w:rsidRDefault="00E659A9" w:rsidP="001731FC">
            <w:pPr>
              <w:jc w:val="center"/>
              <w:rPr>
                <w:sz w:val="18"/>
                <w:szCs w:val="18"/>
              </w:rPr>
            </w:pPr>
            <w:r>
              <w:rPr>
                <w:sz w:val="18"/>
                <w:szCs w:val="18"/>
              </w:rPr>
              <w:t>10,2</w:t>
            </w:r>
            <w:r>
              <w:rPr>
                <w:rFonts w:cstheme="minorHAnsi"/>
                <w:sz w:val="18"/>
                <w:szCs w:val="18"/>
              </w:rPr>
              <w:t>±8,9</w:t>
            </w:r>
          </w:p>
        </w:tc>
        <w:tc>
          <w:tcPr>
            <w:tcW w:w="597" w:type="pct"/>
          </w:tcPr>
          <w:p w:rsidR="00E659A9" w:rsidRPr="0051775B" w:rsidRDefault="00E659A9" w:rsidP="001731FC">
            <w:pPr>
              <w:jc w:val="center"/>
              <w:rPr>
                <w:sz w:val="18"/>
                <w:szCs w:val="18"/>
              </w:rPr>
            </w:pPr>
            <w:r>
              <w:rPr>
                <w:sz w:val="18"/>
                <w:szCs w:val="18"/>
              </w:rPr>
              <w:t>9,0</w:t>
            </w:r>
            <w:r>
              <w:rPr>
                <w:rFonts w:cstheme="minorHAnsi"/>
                <w:sz w:val="18"/>
                <w:szCs w:val="18"/>
              </w:rPr>
              <w:t>±9,1</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0,905</w:t>
            </w:r>
          </w:p>
        </w:tc>
        <w:tc>
          <w:tcPr>
            <w:tcW w:w="524" w:type="pct"/>
            <w:shd w:val="clear" w:color="auto" w:fill="F2F2F2" w:themeFill="background1" w:themeFillShade="F2"/>
          </w:tcPr>
          <w:p w:rsidR="00E659A9" w:rsidRPr="0051775B" w:rsidRDefault="00E659A9" w:rsidP="001731FC">
            <w:pPr>
              <w:jc w:val="center"/>
              <w:rPr>
                <w:sz w:val="18"/>
                <w:szCs w:val="18"/>
              </w:rPr>
            </w:pPr>
            <w:r>
              <w:rPr>
                <w:sz w:val="18"/>
                <w:szCs w:val="18"/>
              </w:rPr>
              <w:t>0,783</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0,876</w:t>
            </w:r>
          </w:p>
        </w:tc>
        <w:tc>
          <w:tcPr>
            <w:tcW w:w="598" w:type="pct"/>
            <w:shd w:val="clear" w:color="auto" w:fill="F2F2F2" w:themeFill="background1" w:themeFillShade="F2"/>
          </w:tcPr>
          <w:p w:rsidR="00E659A9" w:rsidRPr="0051775B" w:rsidRDefault="00E659A9" w:rsidP="001731FC">
            <w:pPr>
              <w:jc w:val="center"/>
              <w:rPr>
                <w:sz w:val="18"/>
                <w:szCs w:val="18"/>
              </w:rPr>
            </w:pPr>
            <w:r>
              <w:rPr>
                <w:sz w:val="18"/>
                <w:szCs w:val="18"/>
              </w:rPr>
              <w:t>0,476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0,424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0,514</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dip (faz-2) MCA ipsil.</w:t>
            </w:r>
          </w:p>
        </w:tc>
        <w:tc>
          <w:tcPr>
            <w:tcW w:w="522" w:type="pct"/>
          </w:tcPr>
          <w:p w:rsidR="00E659A9" w:rsidRPr="0051775B" w:rsidRDefault="00E659A9" w:rsidP="001731FC">
            <w:pPr>
              <w:jc w:val="center"/>
              <w:rPr>
                <w:sz w:val="18"/>
                <w:szCs w:val="18"/>
              </w:rPr>
            </w:pPr>
            <w:r>
              <w:rPr>
                <w:sz w:val="18"/>
                <w:szCs w:val="18"/>
              </w:rPr>
              <w:t>10,9</w:t>
            </w:r>
            <w:r>
              <w:rPr>
                <w:rFonts w:cstheme="minorHAnsi"/>
                <w:sz w:val="18"/>
                <w:szCs w:val="18"/>
              </w:rPr>
              <w:t>±10,1</w:t>
            </w:r>
          </w:p>
        </w:tc>
        <w:tc>
          <w:tcPr>
            <w:tcW w:w="524" w:type="pct"/>
          </w:tcPr>
          <w:p w:rsidR="00E659A9" w:rsidRPr="0051775B" w:rsidRDefault="00E659A9" w:rsidP="001731FC">
            <w:pPr>
              <w:jc w:val="center"/>
              <w:rPr>
                <w:sz w:val="18"/>
                <w:szCs w:val="18"/>
              </w:rPr>
            </w:pPr>
            <w:r>
              <w:rPr>
                <w:sz w:val="18"/>
                <w:szCs w:val="18"/>
              </w:rPr>
              <w:t>8,4</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8,7</w:t>
            </w:r>
            <w:r>
              <w:rPr>
                <w:rFonts w:cstheme="minorHAnsi"/>
                <w:sz w:val="18"/>
                <w:szCs w:val="18"/>
              </w:rPr>
              <w:t>±10,3</w:t>
            </w:r>
          </w:p>
        </w:tc>
        <w:tc>
          <w:tcPr>
            <w:tcW w:w="598" w:type="pct"/>
          </w:tcPr>
          <w:p w:rsidR="00E659A9" w:rsidRPr="0051775B" w:rsidRDefault="00E659A9" w:rsidP="001731FC">
            <w:pPr>
              <w:jc w:val="center"/>
              <w:rPr>
                <w:sz w:val="18"/>
                <w:szCs w:val="18"/>
              </w:rPr>
            </w:pPr>
            <w:r>
              <w:rPr>
                <w:sz w:val="18"/>
                <w:szCs w:val="18"/>
              </w:rPr>
              <w:t>11,2</w:t>
            </w:r>
            <w:r>
              <w:rPr>
                <w:rFonts w:cstheme="minorHAnsi"/>
                <w:sz w:val="18"/>
                <w:szCs w:val="18"/>
              </w:rPr>
              <w:t>±8,4</w:t>
            </w:r>
          </w:p>
        </w:tc>
        <w:tc>
          <w:tcPr>
            <w:tcW w:w="597" w:type="pct"/>
          </w:tcPr>
          <w:p w:rsidR="00E659A9" w:rsidRPr="0051775B" w:rsidRDefault="00E659A9" w:rsidP="001731FC">
            <w:pPr>
              <w:jc w:val="center"/>
              <w:rPr>
                <w:sz w:val="18"/>
                <w:szCs w:val="18"/>
              </w:rPr>
            </w:pPr>
            <w:r>
              <w:rPr>
                <w:sz w:val="18"/>
                <w:szCs w:val="18"/>
              </w:rPr>
              <w:t>10,5</w:t>
            </w:r>
            <w:r>
              <w:rPr>
                <w:rFonts w:cstheme="minorHAnsi"/>
                <w:sz w:val="18"/>
                <w:szCs w:val="18"/>
              </w:rPr>
              <w:t>±11,2</w:t>
            </w:r>
          </w:p>
        </w:tc>
        <w:tc>
          <w:tcPr>
            <w:tcW w:w="597" w:type="pct"/>
          </w:tcPr>
          <w:p w:rsidR="00E659A9" w:rsidRPr="0051775B" w:rsidRDefault="00E659A9" w:rsidP="001731FC">
            <w:pPr>
              <w:jc w:val="center"/>
              <w:rPr>
                <w:sz w:val="18"/>
                <w:szCs w:val="18"/>
              </w:rPr>
            </w:pPr>
            <w:r>
              <w:rPr>
                <w:sz w:val="18"/>
                <w:szCs w:val="18"/>
              </w:rPr>
              <w:t>9,2</w:t>
            </w:r>
            <w:r>
              <w:rPr>
                <w:rFonts w:cstheme="minorHAnsi"/>
                <w:sz w:val="18"/>
                <w:szCs w:val="18"/>
              </w:rPr>
              <w:t>±9,1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dip (faz-2) MCA ips.</w:t>
            </w:r>
          </w:p>
        </w:tc>
        <w:tc>
          <w:tcPr>
            <w:tcW w:w="522" w:type="pct"/>
          </w:tcPr>
          <w:p w:rsidR="00E659A9" w:rsidRPr="0051775B" w:rsidRDefault="00E659A9" w:rsidP="001731FC">
            <w:pPr>
              <w:jc w:val="center"/>
              <w:rPr>
                <w:sz w:val="18"/>
                <w:szCs w:val="18"/>
              </w:rPr>
            </w:pPr>
            <w:r>
              <w:rPr>
                <w:sz w:val="18"/>
                <w:szCs w:val="18"/>
              </w:rPr>
              <w:t>11,3</w:t>
            </w:r>
            <w:r>
              <w:rPr>
                <w:rFonts w:cstheme="minorHAnsi"/>
                <w:sz w:val="18"/>
                <w:szCs w:val="18"/>
              </w:rPr>
              <w:t>±8,3</w:t>
            </w:r>
          </w:p>
        </w:tc>
        <w:tc>
          <w:tcPr>
            <w:tcW w:w="524" w:type="pct"/>
          </w:tcPr>
          <w:p w:rsidR="00E659A9" w:rsidRPr="0051775B" w:rsidRDefault="00E659A9" w:rsidP="001731FC">
            <w:pPr>
              <w:jc w:val="center"/>
              <w:rPr>
                <w:sz w:val="18"/>
                <w:szCs w:val="18"/>
              </w:rPr>
            </w:pPr>
            <w:r>
              <w:rPr>
                <w:sz w:val="18"/>
                <w:szCs w:val="18"/>
              </w:rPr>
              <w:t>6,8</w:t>
            </w:r>
            <w:r>
              <w:rPr>
                <w:rFonts w:cstheme="minorHAnsi"/>
                <w:sz w:val="18"/>
                <w:szCs w:val="18"/>
              </w:rPr>
              <w:t>±7,3</w:t>
            </w:r>
          </w:p>
        </w:tc>
        <w:tc>
          <w:tcPr>
            <w:tcW w:w="597" w:type="pct"/>
          </w:tcPr>
          <w:p w:rsidR="00E659A9" w:rsidRPr="0051775B" w:rsidRDefault="00E659A9" w:rsidP="001731FC">
            <w:pPr>
              <w:jc w:val="center"/>
              <w:rPr>
                <w:sz w:val="18"/>
                <w:szCs w:val="18"/>
              </w:rPr>
            </w:pPr>
            <w:r>
              <w:rPr>
                <w:sz w:val="18"/>
                <w:szCs w:val="18"/>
              </w:rPr>
              <w:t>8,4</w:t>
            </w:r>
            <w:r>
              <w:rPr>
                <w:rFonts w:cstheme="minorHAnsi"/>
                <w:sz w:val="18"/>
                <w:szCs w:val="18"/>
              </w:rPr>
              <w:t>±8,5</w:t>
            </w:r>
          </w:p>
        </w:tc>
        <w:tc>
          <w:tcPr>
            <w:tcW w:w="598" w:type="pct"/>
          </w:tcPr>
          <w:p w:rsidR="00E659A9" w:rsidRPr="0051775B" w:rsidRDefault="00E659A9" w:rsidP="001731FC">
            <w:pPr>
              <w:jc w:val="center"/>
              <w:rPr>
                <w:sz w:val="18"/>
                <w:szCs w:val="18"/>
              </w:rPr>
            </w:pPr>
            <w:r>
              <w:rPr>
                <w:sz w:val="18"/>
                <w:szCs w:val="18"/>
              </w:rPr>
              <w:t>9,8</w:t>
            </w:r>
            <w:r>
              <w:rPr>
                <w:rFonts w:cstheme="minorHAnsi"/>
                <w:sz w:val="18"/>
                <w:szCs w:val="18"/>
              </w:rPr>
              <w:t>±7,1</w:t>
            </w:r>
          </w:p>
        </w:tc>
        <w:tc>
          <w:tcPr>
            <w:tcW w:w="597" w:type="pct"/>
          </w:tcPr>
          <w:p w:rsidR="00E659A9" w:rsidRPr="0051775B" w:rsidRDefault="00E659A9" w:rsidP="001731FC">
            <w:pPr>
              <w:jc w:val="center"/>
              <w:rPr>
                <w:sz w:val="18"/>
                <w:szCs w:val="18"/>
              </w:rPr>
            </w:pPr>
            <w:r>
              <w:rPr>
                <w:sz w:val="18"/>
                <w:szCs w:val="18"/>
              </w:rPr>
              <w:t>10,6</w:t>
            </w:r>
            <w:r>
              <w:rPr>
                <w:rFonts w:cstheme="minorHAnsi"/>
                <w:sz w:val="18"/>
                <w:szCs w:val="18"/>
              </w:rPr>
              <w:t>±8,4</w:t>
            </w:r>
          </w:p>
        </w:tc>
        <w:tc>
          <w:tcPr>
            <w:tcW w:w="597" w:type="pct"/>
          </w:tcPr>
          <w:p w:rsidR="00E659A9" w:rsidRPr="0051775B" w:rsidRDefault="00E659A9" w:rsidP="001731FC">
            <w:pPr>
              <w:jc w:val="center"/>
              <w:rPr>
                <w:sz w:val="18"/>
                <w:szCs w:val="18"/>
              </w:rPr>
            </w:pPr>
            <w:r>
              <w:rPr>
                <w:sz w:val="18"/>
                <w:szCs w:val="18"/>
              </w:rPr>
              <w:t>8,1</w:t>
            </w:r>
            <w:r>
              <w:rPr>
                <w:rFonts w:cstheme="minorHAnsi"/>
                <w:sz w:val="18"/>
                <w:szCs w:val="18"/>
              </w:rPr>
              <w:t>±7,8</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0,835</w:t>
            </w:r>
          </w:p>
        </w:tc>
        <w:tc>
          <w:tcPr>
            <w:tcW w:w="524" w:type="pct"/>
            <w:shd w:val="clear" w:color="auto" w:fill="F2F2F2" w:themeFill="background1" w:themeFillShade="F2"/>
          </w:tcPr>
          <w:p w:rsidR="00E659A9" w:rsidRPr="0051775B" w:rsidRDefault="00E659A9" w:rsidP="001731FC">
            <w:pPr>
              <w:jc w:val="center"/>
              <w:rPr>
                <w:sz w:val="18"/>
                <w:szCs w:val="18"/>
              </w:rPr>
            </w:pPr>
            <w:r>
              <w:rPr>
                <w:sz w:val="18"/>
                <w:szCs w:val="18"/>
              </w:rPr>
              <w:t>0,398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0,847</w:t>
            </w:r>
          </w:p>
        </w:tc>
        <w:tc>
          <w:tcPr>
            <w:tcW w:w="598" w:type="pct"/>
            <w:shd w:val="clear" w:color="auto" w:fill="F2F2F2" w:themeFill="background1" w:themeFillShade="F2"/>
          </w:tcPr>
          <w:p w:rsidR="00E659A9" w:rsidRPr="0051775B" w:rsidRDefault="00E659A9" w:rsidP="001731FC">
            <w:pPr>
              <w:jc w:val="center"/>
              <w:rPr>
                <w:sz w:val="18"/>
                <w:szCs w:val="18"/>
              </w:rPr>
            </w:pPr>
            <w:r>
              <w:rPr>
                <w:sz w:val="18"/>
                <w:szCs w:val="18"/>
              </w:rPr>
              <w:t>0,559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0,934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0,531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dip (faz-2) MCA con.</w:t>
            </w:r>
          </w:p>
        </w:tc>
        <w:tc>
          <w:tcPr>
            <w:tcW w:w="522" w:type="pct"/>
          </w:tcPr>
          <w:p w:rsidR="00E659A9" w:rsidRPr="0051775B" w:rsidRDefault="00E659A9" w:rsidP="001731FC">
            <w:pPr>
              <w:jc w:val="center"/>
              <w:rPr>
                <w:sz w:val="18"/>
                <w:szCs w:val="18"/>
              </w:rPr>
            </w:pPr>
            <w:r>
              <w:rPr>
                <w:sz w:val="18"/>
                <w:szCs w:val="18"/>
              </w:rPr>
              <w:t>11,1</w:t>
            </w:r>
            <w:r>
              <w:rPr>
                <w:rFonts w:cstheme="minorHAnsi"/>
                <w:sz w:val="18"/>
                <w:szCs w:val="18"/>
              </w:rPr>
              <w:t>±10,7</w:t>
            </w:r>
          </w:p>
        </w:tc>
        <w:tc>
          <w:tcPr>
            <w:tcW w:w="524" w:type="pct"/>
          </w:tcPr>
          <w:p w:rsidR="00E659A9" w:rsidRPr="0051775B" w:rsidRDefault="00E659A9" w:rsidP="001731FC">
            <w:pPr>
              <w:jc w:val="center"/>
              <w:rPr>
                <w:sz w:val="18"/>
                <w:szCs w:val="18"/>
              </w:rPr>
            </w:pPr>
            <w:r>
              <w:rPr>
                <w:sz w:val="18"/>
                <w:szCs w:val="18"/>
              </w:rPr>
              <w:t>5,6</w:t>
            </w:r>
            <w:r>
              <w:rPr>
                <w:rFonts w:cstheme="minorHAnsi"/>
                <w:sz w:val="18"/>
                <w:szCs w:val="18"/>
              </w:rPr>
              <w:t>±8,0</w:t>
            </w:r>
          </w:p>
        </w:tc>
        <w:tc>
          <w:tcPr>
            <w:tcW w:w="597" w:type="pct"/>
          </w:tcPr>
          <w:p w:rsidR="00E659A9" w:rsidRPr="0051775B" w:rsidRDefault="00E659A9" w:rsidP="001731FC">
            <w:pPr>
              <w:jc w:val="center"/>
              <w:rPr>
                <w:sz w:val="18"/>
                <w:szCs w:val="18"/>
              </w:rPr>
            </w:pPr>
            <w:r>
              <w:rPr>
                <w:sz w:val="18"/>
                <w:szCs w:val="18"/>
              </w:rPr>
              <w:t>8,6</w:t>
            </w:r>
            <w:r>
              <w:rPr>
                <w:rFonts w:cstheme="minorHAnsi"/>
                <w:sz w:val="18"/>
                <w:szCs w:val="18"/>
              </w:rPr>
              <w:t>±9,8</w:t>
            </w:r>
          </w:p>
        </w:tc>
        <w:tc>
          <w:tcPr>
            <w:tcW w:w="598" w:type="pct"/>
          </w:tcPr>
          <w:p w:rsidR="00E659A9" w:rsidRPr="0051775B" w:rsidRDefault="00E659A9" w:rsidP="001731FC">
            <w:pPr>
              <w:jc w:val="center"/>
              <w:rPr>
                <w:sz w:val="18"/>
                <w:szCs w:val="18"/>
              </w:rPr>
            </w:pPr>
            <w:r>
              <w:rPr>
                <w:sz w:val="18"/>
                <w:szCs w:val="18"/>
              </w:rPr>
              <w:t>7,4</w:t>
            </w:r>
            <w:r>
              <w:rPr>
                <w:rFonts w:cstheme="minorHAnsi"/>
                <w:sz w:val="18"/>
                <w:szCs w:val="18"/>
              </w:rPr>
              <w:t>±9,6</w:t>
            </w:r>
          </w:p>
        </w:tc>
        <w:tc>
          <w:tcPr>
            <w:tcW w:w="597" w:type="pct"/>
          </w:tcPr>
          <w:p w:rsidR="00E659A9" w:rsidRPr="0051775B" w:rsidRDefault="00E659A9" w:rsidP="001731FC">
            <w:pPr>
              <w:jc w:val="center"/>
              <w:rPr>
                <w:sz w:val="18"/>
                <w:szCs w:val="18"/>
              </w:rPr>
            </w:pPr>
            <w:r>
              <w:rPr>
                <w:sz w:val="18"/>
                <w:szCs w:val="18"/>
              </w:rPr>
              <w:t>12,4</w:t>
            </w:r>
            <w:r>
              <w:rPr>
                <w:rFonts w:cstheme="minorHAnsi"/>
                <w:sz w:val="18"/>
                <w:szCs w:val="18"/>
              </w:rPr>
              <w:t>±10,5</w:t>
            </w:r>
          </w:p>
        </w:tc>
        <w:tc>
          <w:tcPr>
            <w:tcW w:w="597" w:type="pct"/>
          </w:tcPr>
          <w:p w:rsidR="00E659A9" w:rsidRPr="0051775B" w:rsidRDefault="00E659A9" w:rsidP="001731FC">
            <w:pPr>
              <w:jc w:val="center"/>
              <w:rPr>
                <w:sz w:val="18"/>
                <w:szCs w:val="18"/>
              </w:rPr>
            </w:pPr>
            <w:r>
              <w:rPr>
                <w:sz w:val="18"/>
                <w:szCs w:val="18"/>
              </w:rPr>
              <w:t>6,3</w:t>
            </w:r>
            <w:r>
              <w:rPr>
                <w:rFonts w:cstheme="minorHAnsi"/>
                <w:sz w:val="18"/>
                <w:szCs w:val="18"/>
              </w:rPr>
              <w:t>±8,8</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dip(faz-2)MCA con.</w:t>
            </w:r>
          </w:p>
        </w:tc>
        <w:tc>
          <w:tcPr>
            <w:tcW w:w="522" w:type="pct"/>
          </w:tcPr>
          <w:p w:rsidR="00E659A9" w:rsidRPr="0051775B" w:rsidRDefault="00E659A9" w:rsidP="001731FC">
            <w:pPr>
              <w:jc w:val="center"/>
              <w:rPr>
                <w:sz w:val="18"/>
                <w:szCs w:val="18"/>
              </w:rPr>
            </w:pPr>
            <w:r>
              <w:rPr>
                <w:sz w:val="18"/>
                <w:szCs w:val="18"/>
              </w:rPr>
              <w:t>11,1</w:t>
            </w:r>
            <w:r>
              <w:rPr>
                <w:rFonts w:cstheme="minorHAnsi"/>
                <w:sz w:val="18"/>
                <w:szCs w:val="18"/>
              </w:rPr>
              <w:t>±9,9</w:t>
            </w:r>
          </w:p>
        </w:tc>
        <w:tc>
          <w:tcPr>
            <w:tcW w:w="524" w:type="pct"/>
          </w:tcPr>
          <w:p w:rsidR="00E659A9" w:rsidRPr="0051775B" w:rsidRDefault="00E659A9" w:rsidP="001731FC">
            <w:pPr>
              <w:jc w:val="center"/>
              <w:rPr>
                <w:sz w:val="18"/>
                <w:szCs w:val="18"/>
              </w:rPr>
            </w:pPr>
            <w:r>
              <w:rPr>
                <w:sz w:val="18"/>
                <w:szCs w:val="18"/>
              </w:rPr>
              <w:t>6,7</w:t>
            </w:r>
            <w:r>
              <w:rPr>
                <w:rFonts w:cstheme="minorHAnsi"/>
                <w:sz w:val="18"/>
                <w:szCs w:val="18"/>
              </w:rPr>
              <w:t>±8,7</w:t>
            </w:r>
          </w:p>
        </w:tc>
        <w:tc>
          <w:tcPr>
            <w:tcW w:w="597" w:type="pct"/>
          </w:tcPr>
          <w:p w:rsidR="00E659A9" w:rsidRPr="0051775B" w:rsidRDefault="00E659A9" w:rsidP="001731FC">
            <w:pPr>
              <w:jc w:val="center"/>
              <w:rPr>
                <w:sz w:val="18"/>
                <w:szCs w:val="18"/>
              </w:rPr>
            </w:pPr>
            <w:r>
              <w:rPr>
                <w:sz w:val="18"/>
                <w:szCs w:val="18"/>
              </w:rPr>
              <w:t>7,0</w:t>
            </w:r>
            <w:r>
              <w:rPr>
                <w:rFonts w:cstheme="minorHAnsi"/>
                <w:sz w:val="18"/>
                <w:szCs w:val="18"/>
              </w:rPr>
              <w:t>±9,7</w:t>
            </w:r>
          </w:p>
        </w:tc>
        <w:tc>
          <w:tcPr>
            <w:tcW w:w="598" w:type="pct"/>
          </w:tcPr>
          <w:p w:rsidR="00E659A9" w:rsidRPr="00680EE4" w:rsidRDefault="00E659A9" w:rsidP="001731FC">
            <w:pPr>
              <w:jc w:val="center"/>
              <w:rPr>
                <w:rFonts w:cstheme="minorHAnsi"/>
                <w:sz w:val="18"/>
                <w:szCs w:val="18"/>
              </w:rPr>
            </w:pPr>
            <w:r>
              <w:rPr>
                <w:sz w:val="18"/>
                <w:szCs w:val="18"/>
              </w:rPr>
              <w:t>11,9</w:t>
            </w:r>
            <w:r>
              <w:rPr>
                <w:rFonts w:cstheme="minorHAnsi"/>
                <w:sz w:val="18"/>
                <w:szCs w:val="18"/>
              </w:rPr>
              <w:t>±8,3</w:t>
            </w:r>
          </w:p>
        </w:tc>
        <w:tc>
          <w:tcPr>
            <w:tcW w:w="597" w:type="pct"/>
          </w:tcPr>
          <w:p w:rsidR="00E659A9" w:rsidRPr="0051775B" w:rsidRDefault="00E659A9" w:rsidP="001731FC">
            <w:pPr>
              <w:jc w:val="center"/>
              <w:rPr>
                <w:sz w:val="18"/>
                <w:szCs w:val="18"/>
              </w:rPr>
            </w:pPr>
            <w:r>
              <w:rPr>
                <w:sz w:val="18"/>
                <w:szCs w:val="18"/>
              </w:rPr>
              <w:t>9,7</w:t>
            </w:r>
            <w:r>
              <w:rPr>
                <w:rFonts w:cstheme="minorHAnsi"/>
                <w:sz w:val="18"/>
                <w:szCs w:val="18"/>
              </w:rPr>
              <w:t>±10,4</w:t>
            </w:r>
          </w:p>
        </w:tc>
        <w:tc>
          <w:tcPr>
            <w:tcW w:w="597" w:type="pct"/>
          </w:tcPr>
          <w:p w:rsidR="00E659A9" w:rsidRPr="0051775B" w:rsidRDefault="00E659A9" w:rsidP="001731FC">
            <w:pPr>
              <w:jc w:val="center"/>
              <w:rPr>
                <w:sz w:val="18"/>
                <w:szCs w:val="18"/>
              </w:rPr>
            </w:pPr>
            <w:r>
              <w:rPr>
                <w:sz w:val="18"/>
                <w:szCs w:val="18"/>
              </w:rPr>
              <w:t>8,3</w:t>
            </w:r>
            <w:r>
              <w:rPr>
                <w:rFonts w:cstheme="minorHAnsi"/>
                <w:sz w:val="18"/>
                <w:szCs w:val="18"/>
              </w:rPr>
              <w:t>±9,1</w:t>
            </w:r>
          </w:p>
        </w:tc>
      </w:tr>
    </w:tbl>
    <w:p w:rsidR="009E5AE5" w:rsidRPr="0056631F" w:rsidRDefault="009E5AE5" w:rsidP="009E5AE5">
      <w:pPr>
        <w:pStyle w:val="METN"/>
        <w:ind w:firstLine="0"/>
        <w:jc w:val="left"/>
      </w:pPr>
      <w:r w:rsidRPr="009E5AE5">
        <w:rPr>
          <w:b/>
        </w:rPr>
        <w:lastRenderedPageBreak/>
        <w:t xml:space="preserve">Tablo </w:t>
      </w:r>
      <w:r w:rsidR="007259BF">
        <w:rPr>
          <w:b/>
        </w:rPr>
        <w:t>3.</w:t>
      </w:r>
      <w:r w:rsidRPr="009E5AE5">
        <w:rPr>
          <w:b/>
        </w:rPr>
        <w:t>7a.</w:t>
      </w:r>
      <w:r>
        <w:rPr>
          <w:b/>
        </w:rPr>
        <w:t xml:space="preserve"> (Devam)</w:t>
      </w:r>
      <w:r w:rsidRPr="0056631F">
        <w:t xml:space="preserve"> Ajite salinin BHT faz-II dip yanıtına olan etkisi I</w:t>
      </w:r>
    </w:p>
    <w:tbl>
      <w:tblPr>
        <w:tblStyle w:val="TabloKlavuzu"/>
        <w:tblW w:w="5000" w:type="pct"/>
        <w:tblLook w:val="04A0" w:firstRow="1" w:lastRow="0" w:firstColumn="1" w:lastColumn="0" w:noHBand="0" w:noVBand="1"/>
      </w:tblPr>
      <w:tblGrid>
        <w:gridCol w:w="4206"/>
        <w:gridCol w:w="1403"/>
        <w:gridCol w:w="1405"/>
        <w:gridCol w:w="1603"/>
        <w:gridCol w:w="1603"/>
        <w:gridCol w:w="1603"/>
        <w:gridCol w:w="1603"/>
      </w:tblGrid>
      <w:tr w:rsidR="00E659A9" w:rsidRPr="0051775B" w:rsidTr="009E5AE5">
        <w:tc>
          <w:tcPr>
            <w:tcW w:w="1566" w:type="pct"/>
            <w:shd w:val="clear" w:color="auto" w:fill="F2F2F2" w:themeFill="background1" w:themeFillShade="F2"/>
          </w:tcPr>
          <w:p w:rsidR="00E659A9" w:rsidRPr="0051775B" w:rsidRDefault="00E659A9" w:rsidP="001731FC">
            <w:pPr>
              <w:rPr>
                <w:sz w:val="18"/>
                <w:szCs w:val="18"/>
              </w:rPr>
            </w:pPr>
            <w:r>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0,992</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0,556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0,275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0,090</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0,127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0,228</w:t>
            </w:r>
          </w:p>
        </w:tc>
      </w:tr>
      <w:tr w:rsidR="00E659A9" w:rsidRPr="00954456" w:rsidTr="009E5AE5">
        <w:tc>
          <w:tcPr>
            <w:tcW w:w="1566" w:type="pct"/>
          </w:tcPr>
          <w:p w:rsidR="00E659A9" w:rsidRPr="00954456" w:rsidRDefault="00E659A9" w:rsidP="001731FC">
            <w:pPr>
              <w:rPr>
                <w:sz w:val="18"/>
                <w:szCs w:val="18"/>
              </w:rPr>
            </w:pPr>
            <w:r w:rsidRPr="00954456">
              <w:rPr>
                <w:sz w:val="18"/>
                <w:szCs w:val="18"/>
              </w:rPr>
              <w:t>PRE-BUBBLE-PCA-dip time</w:t>
            </w:r>
          </w:p>
        </w:tc>
        <w:tc>
          <w:tcPr>
            <w:tcW w:w="522" w:type="pct"/>
          </w:tcPr>
          <w:p w:rsidR="00E659A9" w:rsidRPr="00954456" w:rsidRDefault="00E659A9" w:rsidP="001731FC">
            <w:pPr>
              <w:jc w:val="center"/>
              <w:rPr>
                <w:sz w:val="18"/>
                <w:szCs w:val="18"/>
              </w:rPr>
            </w:pPr>
            <w:r w:rsidRPr="00954456">
              <w:rPr>
                <w:sz w:val="18"/>
                <w:szCs w:val="18"/>
              </w:rPr>
              <w:t>8,7</w:t>
            </w:r>
            <w:r w:rsidRPr="00954456">
              <w:rPr>
                <w:rFonts w:cstheme="minorHAnsi"/>
                <w:sz w:val="18"/>
                <w:szCs w:val="18"/>
              </w:rPr>
              <w:t>±2,8</w:t>
            </w:r>
          </w:p>
        </w:tc>
        <w:tc>
          <w:tcPr>
            <w:tcW w:w="523" w:type="pct"/>
          </w:tcPr>
          <w:p w:rsidR="00E659A9" w:rsidRPr="00954456" w:rsidRDefault="00E659A9" w:rsidP="001731FC">
            <w:pPr>
              <w:jc w:val="center"/>
              <w:rPr>
                <w:sz w:val="18"/>
                <w:szCs w:val="18"/>
              </w:rPr>
            </w:pPr>
            <w:r w:rsidRPr="00954456">
              <w:rPr>
                <w:sz w:val="18"/>
                <w:szCs w:val="18"/>
              </w:rPr>
              <w:t>8,8</w:t>
            </w:r>
            <w:r w:rsidRPr="00954456">
              <w:rPr>
                <w:rFonts w:cstheme="minorHAnsi"/>
                <w:sz w:val="18"/>
                <w:szCs w:val="18"/>
              </w:rPr>
              <w:t>±3,4</w:t>
            </w:r>
          </w:p>
        </w:tc>
        <w:tc>
          <w:tcPr>
            <w:tcW w:w="597" w:type="pct"/>
          </w:tcPr>
          <w:p w:rsidR="00E659A9" w:rsidRPr="00461F9A" w:rsidRDefault="00E659A9" w:rsidP="001731FC">
            <w:pPr>
              <w:jc w:val="center"/>
              <w:rPr>
                <w:sz w:val="18"/>
                <w:szCs w:val="18"/>
              </w:rPr>
            </w:pPr>
            <w:r w:rsidRPr="00461F9A">
              <w:rPr>
                <w:sz w:val="18"/>
                <w:szCs w:val="18"/>
              </w:rPr>
              <w:t>8,4</w:t>
            </w:r>
            <w:r w:rsidRPr="00461F9A">
              <w:rPr>
                <w:rFonts w:cstheme="minorHAnsi"/>
                <w:sz w:val="18"/>
                <w:szCs w:val="18"/>
              </w:rPr>
              <w:t>±3,0</w:t>
            </w:r>
          </w:p>
        </w:tc>
        <w:tc>
          <w:tcPr>
            <w:tcW w:w="597" w:type="pct"/>
          </w:tcPr>
          <w:p w:rsidR="00E659A9" w:rsidRPr="00954456" w:rsidRDefault="00E659A9" w:rsidP="001731FC">
            <w:pPr>
              <w:jc w:val="center"/>
              <w:rPr>
                <w:sz w:val="18"/>
                <w:szCs w:val="18"/>
              </w:rPr>
            </w:pPr>
            <w:r w:rsidRPr="00954456">
              <w:rPr>
                <w:sz w:val="18"/>
                <w:szCs w:val="18"/>
              </w:rPr>
              <w:t>9,4</w:t>
            </w:r>
            <w:r w:rsidRPr="00954456">
              <w:rPr>
                <w:rFonts w:cstheme="minorHAnsi"/>
                <w:sz w:val="18"/>
                <w:szCs w:val="18"/>
              </w:rPr>
              <w:t>±3,3</w:t>
            </w:r>
          </w:p>
        </w:tc>
        <w:tc>
          <w:tcPr>
            <w:tcW w:w="597" w:type="pct"/>
          </w:tcPr>
          <w:p w:rsidR="00E659A9" w:rsidRPr="00461F9A" w:rsidRDefault="00E659A9" w:rsidP="001731FC">
            <w:pPr>
              <w:jc w:val="center"/>
              <w:rPr>
                <w:sz w:val="18"/>
                <w:szCs w:val="18"/>
              </w:rPr>
            </w:pPr>
            <w:r w:rsidRPr="00461F9A">
              <w:rPr>
                <w:sz w:val="18"/>
                <w:szCs w:val="18"/>
              </w:rPr>
              <w:t>8,1</w:t>
            </w:r>
            <w:r w:rsidRPr="00461F9A">
              <w:rPr>
                <w:rFonts w:cstheme="minorHAnsi"/>
                <w:sz w:val="18"/>
                <w:szCs w:val="18"/>
              </w:rPr>
              <w:t>±3,1</w:t>
            </w:r>
          </w:p>
        </w:tc>
        <w:tc>
          <w:tcPr>
            <w:tcW w:w="597" w:type="pct"/>
          </w:tcPr>
          <w:p w:rsidR="00E659A9" w:rsidRPr="00461F9A" w:rsidRDefault="00E659A9" w:rsidP="001731FC">
            <w:pPr>
              <w:jc w:val="center"/>
              <w:rPr>
                <w:sz w:val="18"/>
                <w:szCs w:val="18"/>
              </w:rPr>
            </w:pPr>
            <w:r w:rsidRPr="00461F9A">
              <w:rPr>
                <w:sz w:val="18"/>
                <w:szCs w:val="18"/>
              </w:rPr>
              <w:t>9,0</w:t>
            </w:r>
            <w:r w:rsidRPr="00461F9A">
              <w:rPr>
                <w:rFonts w:cstheme="minorHAnsi"/>
                <w:sz w:val="18"/>
                <w:szCs w:val="18"/>
              </w:rPr>
              <w:t>±3,1</w:t>
            </w:r>
          </w:p>
        </w:tc>
      </w:tr>
      <w:tr w:rsidR="00E659A9" w:rsidRPr="00954456" w:rsidTr="009E5AE5">
        <w:tc>
          <w:tcPr>
            <w:tcW w:w="1566" w:type="pct"/>
          </w:tcPr>
          <w:p w:rsidR="00E659A9" w:rsidRPr="00954456" w:rsidRDefault="00E659A9" w:rsidP="001731FC">
            <w:pPr>
              <w:rPr>
                <w:sz w:val="18"/>
                <w:szCs w:val="18"/>
              </w:rPr>
            </w:pPr>
            <w:r w:rsidRPr="00954456">
              <w:rPr>
                <w:sz w:val="18"/>
                <w:szCs w:val="18"/>
              </w:rPr>
              <w:t>POST-BUBBLE-PCA-dip time</w:t>
            </w:r>
          </w:p>
        </w:tc>
        <w:tc>
          <w:tcPr>
            <w:tcW w:w="522" w:type="pct"/>
          </w:tcPr>
          <w:p w:rsidR="00E659A9" w:rsidRPr="00954456" w:rsidRDefault="00E659A9" w:rsidP="001731FC">
            <w:pPr>
              <w:jc w:val="center"/>
              <w:rPr>
                <w:sz w:val="18"/>
                <w:szCs w:val="18"/>
              </w:rPr>
            </w:pPr>
            <w:r w:rsidRPr="00954456">
              <w:rPr>
                <w:sz w:val="18"/>
                <w:szCs w:val="18"/>
              </w:rPr>
              <w:t>10,0</w:t>
            </w:r>
            <w:r w:rsidRPr="00954456">
              <w:rPr>
                <w:rFonts w:cstheme="minorHAnsi"/>
                <w:sz w:val="18"/>
                <w:szCs w:val="18"/>
              </w:rPr>
              <w:t>±3,4</w:t>
            </w:r>
          </w:p>
        </w:tc>
        <w:tc>
          <w:tcPr>
            <w:tcW w:w="523" w:type="pct"/>
          </w:tcPr>
          <w:p w:rsidR="00E659A9" w:rsidRPr="00954456" w:rsidRDefault="00E659A9" w:rsidP="001731FC">
            <w:pPr>
              <w:jc w:val="center"/>
              <w:rPr>
                <w:sz w:val="18"/>
                <w:szCs w:val="18"/>
              </w:rPr>
            </w:pPr>
            <w:r w:rsidRPr="00954456">
              <w:rPr>
                <w:sz w:val="18"/>
                <w:szCs w:val="18"/>
              </w:rPr>
              <w:t>10,9</w:t>
            </w:r>
            <w:r w:rsidRPr="00954456">
              <w:rPr>
                <w:rFonts w:cstheme="minorHAnsi"/>
                <w:sz w:val="18"/>
                <w:szCs w:val="18"/>
              </w:rPr>
              <w:t>±3,2</w:t>
            </w:r>
          </w:p>
        </w:tc>
        <w:tc>
          <w:tcPr>
            <w:tcW w:w="597" w:type="pct"/>
          </w:tcPr>
          <w:p w:rsidR="00E659A9" w:rsidRPr="00461F9A" w:rsidRDefault="00E659A9" w:rsidP="001731FC">
            <w:pPr>
              <w:jc w:val="center"/>
              <w:rPr>
                <w:sz w:val="18"/>
                <w:szCs w:val="18"/>
              </w:rPr>
            </w:pPr>
            <w:r w:rsidRPr="00461F9A">
              <w:rPr>
                <w:sz w:val="18"/>
                <w:szCs w:val="18"/>
              </w:rPr>
              <w:t>10,2</w:t>
            </w:r>
            <w:r w:rsidRPr="00461F9A">
              <w:rPr>
                <w:rFonts w:cstheme="minorHAnsi"/>
                <w:sz w:val="18"/>
                <w:szCs w:val="18"/>
              </w:rPr>
              <w:t>±2,7</w:t>
            </w:r>
          </w:p>
        </w:tc>
        <w:tc>
          <w:tcPr>
            <w:tcW w:w="597" w:type="pct"/>
          </w:tcPr>
          <w:p w:rsidR="00E659A9" w:rsidRPr="00954456" w:rsidRDefault="00E659A9" w:rsidP="001731FC">
            <w:pPr>
              <w:jc w:val="center"/>
              <w:rPr>
                <w:sz w:val="18"/>
                <w:szCs w:val="18"/>
              </w:rPr>
            </w:pPr>
            <w:r w:rsidRPr="00954456">
              <w:rPr>
                <w:sz w:val="18"/>
                <w:szCs w:val="18"/>
              </w:rPr>
              <w:t>10,9</w:t>
            </w:r>
            <w:r w:rsidRPr="00954456">
              <w:rPr>
                <w:rFonts w:cstheme="minorHAnsi"/>
                <w:sz w:val="18"/>
                <w:szCs w:val="18"/>
              </w:rPr>
              <w:t>±4,2</w:t>
            </w:r>
          </w:p>
        </w:tc>
        <w:tc>
          <w:tcPr>
            <w:tcW w:w="597" w:type="pct"/>
          </w:tcPr>
          <w:p w:rsidR="00E659A9" w:rsidRPr="00461F9A" w:rsidRDefault="00E659A9" w:rsidP="001731FC">
            <w:pPr>
              <w:jc w:val="center"/>
              <w:rPr>
                <w:sz w:val="18"/>
                <w:szCs w:val="18"/>
              </w:rPr>
            </w:pPr>
            <w:r w:rsidRPr="00461F9A">
              <w:rPr>
                <w:sz w:val="18"/>
                <w:szCs w:val="18"/>
              </w:rPr>
              <w:t>10,1</w:t>
            </w:r>
            <w:r w:rsidRPr="00461F9A">
              <w:rPr>
                <w:rFonts w:cstheme="minorHAnsi"/>
                <w:sz w:val="18"/>
                <w:szCs w:val="18"/>
              </w:rPr>
              <w:t>±3,2</w:t>
            </w:r>
          </w:p>
        </w:tc>
        <w:tc>
          <w:tcPr>
            <w:tcW w:w="597" w:type="pct"/>
          </w:tcPr>
          <w:p w:rsidR="00E659A9" w:rsidRPr="00461F9A" w:rsidRDefault="00E659A9" w:rsidP="001731FC">
            <w:pPr>
              <w:jc w:val="center"/>
              <w:rPr>
                <w:sz w:val="18"/>
                <w:szCs w:val="18"/>
              </w:rPr>
            </w:pPr>
            <w:r w:rsidRPr="00461F9A">
              <w:rPr>
                <w:sz w:val="18"/>
                <w:szCs w:val="18"/>
              </w:rPr>
              <w:t>10,6</w:t>
            </w:r>
            <w:r w:rsidRPr="00461F9A">
              <w:rPr>
                <w:rFonts w:cstheme="minorHAnsi"/>
                <w:sz w:val="18"/>
                <w:szCs w:val="18"/>
              </w:rPr>
              <w:t>±3,4</w:t>
            </w:r>
          </w:p>
        </w:tc>
      </w:tr>
      <w:tr w:rsidR="00E659A9" w:rsidRPr="0051775B" w:rsidTr="009E5AE5">
        <w:tc>
          <w:tcPr>
            <w:tcW w:w="1566" w:type="pct"/>
          </w:tcPr>
          <w:p w:rsidR="00E659A9" w:rsidRPr="00954456" w:rsidRDefault="00E659A9" w:rsidP="001731FC">
            <w:pPr>
              <w:rPr>
                <w:sz w:val="18"/>
                <w:szCs w:val="18"/>
              </w:rPr>
            </w:pPr>
            <w:r w:rsidRPr="00954456">
              <w:rPr>
                <w:sz w:val="18"/>
                <w:szCs w:val="18"/>
              </w:rPr>
              <w:t>P</w:t>
            </w:r>
          </w:p>
        </w:tc>
        <w:tc>
          <w:tcPr>
            <w:tcW w:w="522" w:type="pct"/>
          </w:tcPr>
          <w:p w:rsidR="00E659A9" w:rsidRPr="00954456" w:rsidRDefault="00E659A9" w:rsidP="001731FC">
            <w:pPr>
              <w:jc w:val="center"/>
              <w:rPr>
                <w:sz w:val="18"/>
                <w:szCs w:val="18"/>
              </w:rPr>
            </w:pPr>
            <w:r w:rsidRPr="00954456">
              <w:rPr>
                <w:sz w:val="18"/>
                <w:szCs w:val="18"/>
              </w:rPr>
              <w:t>0,072</w:t>
            </w:r>
          </w:p>
        </w:tc>
        <w:tc>
          <w:tcPr>
            <w:tcW w:w="523" w:type="pct"/>
          </w:tcPr>
          <w:p w:rsidR="00E659A9" w:rsidRPr="00954456" w:rsidRDefault="00E659A9" w:rsidP="001731FC">
            <w:pPr>
              <w:jc w:val="center"/>
              <w:rPr>
                <w:sz w:val="18"/>
                <w:szCs w:val="18"/>
              </w:rPr>
            </w:pPr>
            <w:r w:rsidRPr="00954456">
              <w:rPr>
                <w:sz w:val="18"/>
                <w:szCs w:val="18"/>
              </w:rPr>
              <w:t>0,031</w:t>
            </w:r>
          </w:p>
        </w:tc>
        <w:tc>
          <w:tcPr>
            <w:tcW w:w="597" w:type="pct"/>
          </w:tcPr>
          <w:p w:rsidR="00E659A9" w:rsidRPr="00461F9A" w:rsidRDefault="00E659A9" w:rsidP="001731FC">
            <w:pPr>
              <w:jc w:val="center"/>
              <w:rPr>
                <w:sz w:val="18"/>
                <w:szCs w:val="18"/>
              </w:rPr>
            </w:pPr>
            <w:r w:rsidRPr="00461F9A">
              <w:rPr>
                <w:sz w:val="18"/>
                <w:szCs w:val="18"/>
              </w:rPr>
              <w:t>0,002</w:t>
            </w:r>
          </w:p>
        </w:tc>
        <w:tc>
          <w:tcPr>
            <w:tcW w:w="597" w:type="pct"/>
          </w:tcPr>
          <w:p w:rsidR="00E659A9" w:rsidRPr="00954456" w:rsidRDefault="00E659A9" w:rsidP="001731FC">
            <w:pPr>
              <w:jc w:val="center"/>
              <w:rPr>
                <w:sz w:val="18"/>
                <w:szCs w:val="18"/>
              </w:rPr>
            </w:pPr>
            <w:r w:rsidRPr="00954456">
              <w:rPr>
                <w:sz w:val="18"/>
                <w:szCs w:val="18"/>
              </w:rPr>
              <w:t>0,282</w:t>
            </w:r>
          </w:p>
        </w:tc>
        <w:tc>
          <w:tcPr>
            <w:tcW w:w="597" w:type="pct"/>
          </w:tcPr>
          <w:p w:rsidR="00E659A9" w:rsidRPr="00461F9A" w:rsidRDefault="00E659A9" w:rsidP="001731FC">
            <w:pPr>
              <w:jc w:val="center"/>
              <w:rPr>
                <w:sz w:val="18"/>
                <w:szCs w:val="18"/>
              </w:rPr>
            </w:pPr>
            <w:r w:rsidRPr="00461F9A">
              <w:rPr>
                <w:sz w:val="18"/>
                <w:szCs w:val="18"/>
              </w:rPr>
              <w:t>0,043</w:t>
            </w:r>
          </w:p>
        </w:tc>
        <w:tc>
          <w:tcPr>
            <w:tcW w:w="597" w:type="pct"/>
          </w:tcPr>
          <w:p w:rsidR="00E659A9" w:rsidRPr="00461F9A" w:rsidRDefault="00E659A9" w:rsidP="001731FC">
            <w:pPr>
              <w:jc w:val="center"/>
              <w:rPr>
                <w:sz w:val="18"/>
                <w:szCs w:val="18"/>
              </w:rPr>
            </w:pPr>
            <w:r w:rsidRPr="00461F9A">
              <w:rPr>
                <w:sz w:val="18"/>
                <w:szCs w:val="18"/>
              </w:rPr>
              <w:t>0,042</w:t>
            </w:r>
          </w:p>
        </w:tc>
      </w:tr>
      <w:tr w:rsidR="00E659A9" w:rsidRPr="0051775B" w:rsidTr="009E5AE5">
        <w:tc>
          <w:tcPr>
            <w:tcW w:w="1566" w:type="pct"/>
          </w:tcPr>
          <w:p w:rsidR="00E659A9" w:rsidRDefault="00E659A9" w:rsidP="001731FC">
            <w:pPr>
              <w:rPr>
                <w:sz w:val="18"/>
                <w:szCs w:val="18"/>
              </w:rPr>
            </w:pPr>
            <w:r>
              <w:rPr>
                <w:sz w:val="18"/>
                <w:szCs w:val="18"/>
              </w:rPr>
              <w:t>PRE-BUBBLE-MCA-dip time</w:t>
            </w:r>
          </w:p>
        </w:tc>
        <w:tc>
          <w:tcPr>
            <w:tcW w:w="522" w:type="pct"/>
          </w:tcPr>
          <w:p w:rsidR="00E659A9" w:rsidRDefault="00E659A9" w:rsidP="001731FC">
            <w:pPr>
              <w:jc w:val="center"/>
              <w:rPr>
                <w:sz w:val="18"/>
                <w:szCs w:val="18"/>
              </w:rPr>
            </w:pPr>
            <w:r>
              <w:rPr>
                <w:sz w:val="18"/>
                <w:szCs w:val="18"/>
              </w:rPr>
              <w:t>10,6</w:t>
            </w:r>
            <w:r>
              <w:rPr>
                <w:rFonts w:cstheme="minorHAnsi"/>
                <w:sz w:val="18"/>
                <w:szCs w:val="18"/>
              </w:rPr>
              <w:t>±2,9</w:t>
            </w:r>
          </w:p>
        </w:tc>
        <w:tc>
          <w:tcPr>
            <w:tcW w:w="523" w:type="pct"/>
          </w:tcPr>
          <w:p w:rsidR="00E659A9" w:rsidRPr="0051775B" w:rsidRDefault="00E659A9" w:rsidP="001731FC">
            <w:pPr>
              <w:jc w:val="center"/>
              <w:rPr>
                <w:sz w:val="18"/>
                <w:szCs w:val="18"/>
              </w:rPr>
            </w:pPr>
            <w:r>
              <w:rPr>
                <w:sz w:val="18"/>
                <w:szCs w:val="18"/>
              </w:rPr>
              <w:t>10,4</w:t>
            </w:r>
            <w:r>
              <w:rPr>
                <w:rFonts w:cstheme="minorHAnsi"/>
                <w:sz w:val="18"/>
                <w:szCs w:val="18"/>
              </w:rPr>
              <w:t>±2,9</w:t>
            </w:r>
          </w:p>
        </w:tc>
        <w:tc>
          <w:tcPr>
            <w:tcW w:w="597" w:type="pct"/>
          </w:tcPr>
          <w:p w:rsidR="00E659A9" w:rsidRPr="0051775B" w:rsidRDefault="00E659A9" w:rsidP="001731FC">
            <w:pPr>
              <w:jc w:val="center"/>
              <w:rPr>
                <w:sz w:val="18"/>
                <w:szCs w:val="18"/>
              </w:rPr>
            </w:pPr>
            <w:r>
              <w:rPr>
                <w:sz w:val="18"/>
                <w:szCs w:val="18"/>
              </w:rPr>
              <w:t>10,4</w:t>
            </w:r>
            <w:r>
              <w:rPr>
                <w:rFonts w:cstheme="minorHAnsi"/>
                <w:sz w:val="18"/>
                <w:szCs w:val="18"/>
              </w:rPr>
              <w:t>±3,0</w:t>
            </w:r>
          </w:p>
        </w:tc>
        <w:tc>
          <w:tcPr>
            <w:tcW w:w="597" w:type="pct"/>
          </w:tcPr>
          <w:p w:rsidR="00E659A9" w:rsidRPr="0051775B" w:rsidRDefault="00E659A9" w:rsidP="001731FC">
            <w:pPr>
              <w:jc w:val="center"/>
              <w:rPr>
                <w:sz w:val="18"/>
                <w:szCs w:val="18"/>
              </w:rPr>
            </w:pPr>
            <w:r>
              <w:rPr>
                <w:sz w:val="18"/>
                <w:szCs w:val="18"/>
              </w:rPr>
              <w:t>10,7</w:t>
            </w:r>
            <w:r>
              <w:rPr>
                <w:rFonts w:cstheme="minorHAnsi"/>
                <w:sz w:val="18"/>
                <w:szCs w:val="18"/>
              </w:rPr>
              <w:t>±2,6</w:t>
            </w:r>
          </w:p>
        </w:tc>
        <w:tc>
          <w:tcPr>
            <w:tcW w:w="597" w:type="pct"/>
          </w:tcPr>
          <w:p w:rsidR="00E659A9" w:rsidRPr="0051775B" w:rsidRDefault="00E659A9" w:rsidP="001731FC">
            <w:pPr>
              <w:jc w:val="center"/>
              <w:rPr>
                <w:sz w:val="18"/>
                <w:szCs w:val="18"/>
              </w:rPr>
            </w:pPr>
            <w:r>
              <w:rPr>
                <w:sz w:val="18"/>
                <w:szCs w:val="18"/>
              </w:rPr>
              <w:t>11,0</w:t>
            </w:r>
            <w:r>
              <w:rPr>
                <w:rFonts w:cstheme="minorHAnsi"/>
                <w:sz w:val="18"/>
                <w:szCs w:val="18"/>
              </w:rPr>
              <w:t>±3,1</w:t>
            </w:r>
          </w:p>
        </w:tc>
        <w:tc>
          <w:tcPr>
            <w:tcW w:w="597" w:type="pct"/>
          </w:tcPr>
          <w:p w:rsidR="00E659A9" w:rsidRPr="0051775B" w:rsidRDefault="00E659A9" w:rsidP="001731FC">
            <w:pPr>
              <w:jc w:val="center"/>
              <w:rPr>
                <w:sz w:val="18"/>
                <w:szCs w:val="18"/>
              </w:rPr>
            </w:pPr>
            <w:r>
              <w:rPr>
                <w:sz w:val="18"/>
                <w:szCs w:val="18"/>
              </w:rPr>
              <w:t>10,3</w:t>
            </w:r>
            <w:r>
              <w:rPr>
                <w:rFonts w:cstheme="minorHAnsi"/>
                <w:sz w:val="18"/>
                <w:szCs w:val="18"/>
              </w:rPr>
              <w:t>±2,8</w:t>
            </w:r>
          </w:p>
        </w:tc>
      </w:tr>
      <w:tr w:rsidR="00E659A9" w:rsidRPr="0051775B" w:rsidTr="009E5AE5">
        <w:tc>
          <w:tcPr>
            <w:tcW w:w="1566" w:type="pct"/>
          </w:tcPr>
          <w:p w:rsidR="00E659A9" w:rsidRDefault="00E659A9" w:rsidP="001731FC">
            <w:pPr>
              <w:rPr>
                <w:sz w:val="18"/>
                <w:szCs w:val="18"/>
              </w:rPr>
            </w:pPr>
            <w:r>
              <w:rPr>
                <w:sz w:val="18"/>
                <w:szCs w:val="18"/>
              </w:rPr>
              <w:t>POST-BUBBLE-MCA-dip time</w:t>
            </w:r>
          </w:p>
        </w:tc>
        <w:tc>
          <w:tcPr>
            <w:tcW w:w="522" w:type="pct"/>
          </w:tcPr>
          <w:p w:rsidR="00E659A9" w:rsidRDefault="00E659A9" w:rsidP="001731FC">
            <w:pPr>
              <w:jc w:val="center"/>
              <w:rPr>
                <w:sz w:val="18"/>
                <w:szCs w:val="18"/>
              </w:rPr>
            </w:pPr>
            <w:r>
              <w:rPr>
                <w:sz w:val="18"/>
                <w:szCs w:val="18"/>
              </w:rPr>
              <w:t>10,6</w:t>
            </w:r>
            <w:r>
              <w:rPr>
                <w:rFonts w:cstheme="minorHAnsi"/>
                <w:sz w:val="18"/>
                <w:szCs w:val="18"/>
              </w:rPr>
              <w:t>±3,9</w:t>
            </w:r>
          </w:p>
        </w:tc>
        <w:tc>
          <w:tcPr>
            <w:tcW w:w="523" w:type="pct"/>
          </w:tcPr>
          <w:p w:rsidR="00E659A9" w:rsidRPr="0051775B" w:rsidRDefault="00E659A9" w:rsidP="001731FC">
            <w:pPr>
              <w:jc w:val="center"/>
              <w:rPr>
                <w:sz w:val="18"/>
                <w:szCs w:val="18"/>
              </w:rPr>
            </w:pPr>
            <w:r>
              <w:rPr>
                <w:sz w:val="18"/>
                <w:szCs w:val="18"/>
              </w:rPr>
              <w:t>10,2</w:t>
            </w:r>
            <w:r>
              <w:rPr>
                <w:rFonts w:cstheme="minorHAnsi"/>
                <w:sz w:val="18"/>
                <w:szCs w:val="18"/>
              </w:rPr>
              <w:t>±2,5</w:t>
            </w:r>
          </w:p>
        </w:tc>
        <w:tc>
          <w:tcPr>
            <w:tcW w:w="597" w:type="pct"/>
          </w:tcPr>
          <w:p w:rsidR="00E659A9" w:rsidRPr="0051775B" w:rsidRDefault="00E659A9" w:rsidP="001731FC">
            <w:pPr>
              <w:jc w:val="center"/>
              <w:rPr>
                <w:sz w:val="18"/>
                <w:szCs w:val="18"/>
              </w:rPr>
            </w:pPr>
            <w:r>
              <w:rPr>
                <w:sz w:val="18"/>
                <w:szCs w:val="18"/>
              </w:rPr>
              <w:t>10,3</w:t>
            </w:r>
            <w:r>
              <w:rPr>
                <w:rFonts w:cstheme="minorHAnsi"/>
                <w:sz w:val="18"/>
                <w:szCs w:val="18"/>
              </w:rPr>
              <w:t>±3,6</w:t>
            </w:r>
          </w:p>
        </w:tc>
        <w:tc>
          <w:tcPr>
            <w:tcW w:w="597" w:type="pct"/>
          </w:tcPr>
          <w:p w:rsidR="00E659A9" w:rsidRPr="0051775B" w:rsidRDefault="00E659A9" w:rsidP="001731FC">
            <w:pPr>
              <w:jc w:val="center"/>
              <w:rPr>
                <w:sz w:val="18"/>
                <w:szCs w:val="18"/>
              </w:rPr>
            </w:pPr>
            <w:r>
              <w:rPr>
                <w:sz w:val="18"/>
                <w:szCs w:val="18"/>
              </w:rPr>
              <w:t>10,6</w:t>
            </w:r>
            <w:r>
              <w:rPr>
                <w:rFonts w:cstheme="minorHAnsi"/>
                <w:sz w:val="18"/>
                <w:szCs w:val="18"/>
              </w:rPr>
              <w:t>±2,3</w:t>
            </w:r>
          </w:p>
        </w:tc>
        <w:tc>
          <w:tcPr>
            <w:tcW w:w="597" w:type="pct"/>
          </w:tcPr>
          <w:p w:rsidR="00E659A9" w:rsidRPr="0051775B" w:rsidRDefault="00E659A9" w:rsidP="001731FC">
            <w:pPr>
              <w:jc w:val="center"/>
              <w:rPr>
                <w:sz w:val="18"/>
                <w:szCs w:val="18"/>
              </w:rPr>
            </w:pPr>
            <w:r>
              <w:rPr>
                <w:sz w:val="18"/>
                <w:szCs w:val="18"/>
              </w:rPr>
              <w:t>11,1</w:t>
            </w:r>
            <w:r>
              <w:rPr>
                <w:rFonts w:cstheme="minorHAnsi"/>
                <w:sz w:val="18"/>
                <w:szCs w:val="18"/>
              </w:rPr>
              <w:t>±4,5</w:t>
            </w:r>
          </w:p>
        </w:tc>
        <w:tc>
          <w:tcPr>
            <w:tcW w:w="597" w:type="pct"/>
          </w:tcPr>
          <w:p w:rsidR="00E659A9" w:rsidRPr="0051775B" w:rsidRDefault="00E659A9" w:rsidP="001731FC">
            <w:pPr>
              <w:jc w:val="center"/>
              <w:rPr>
                <w:sz w:val="18"/>
                <w:szCs w:val="18"/>
              </w:rPr>
            </w:pPr>
            <w:r>
              <w:rPr>
                <w:sz w:val="18"/>
                <w:szCs w:val="18"/>
              </w:rPr>
              <w:t>10,1</w:t>
            </w:r>
            <w:r>
              <w:rPr>
                <w:rFonts w:cstheme="minorHAnsi"/>
                <w:sz w:val="18"/>
                <w:szCs w:val="18"/>
              </w:rPr>
              <w:t>±2,4</w:t>
            </w:r>
          </w:p>
        </w:tc>
      </w:tr>
      <w:tr w:rsidR="00E659A9" w:rsidRPr="0051775B" w:rsidTr="009E5AE5">
        <w:tc>
          <w:tcPr>
            <w:tcW w:w="1566" w:type="pct"/>
          </w:tcPr>
          <w:p w:rsidR="00E659A9" w:rsidRDefault="00E659A9" w:rsidP="001731FC">
            <w:pPr>
              <w:rPr>
                <w:sz w:val="18"/>
                <w:szCs w:val="18"/>
              </w:rPr>
            </w:pPr>
            <w:r>
              <w:rPr>
                <w:sz w:val="18"/>
                <w:szCs w:val="18"/>
              </w:rPr>
              <w:t>p</w:t>
            </w:r>
          </w:p>
        </w:tc>
        <w:tc>
          <w:tcPr>
            <w:tcW w:w="522" w:type="pct"/>
          </w:tcPr>
          <w:p w:rsidR="00E659A9" w:rsidRDefault="00E659A9" w:rsidP="001731FC">
            <w:pPr>
              <w:jc w:val="center"/>
              <w:rPr>
                <w:sz w:val="18"/>
                <w:szCs w:val="18"/>
              </w:rPr>
            </w:pPr>
            <w:r>
              <w:rPr>
                <w:sz w:val="18"/>
                <w:szCs w:val="18"/>
              </w:rPr>
              <w:t>0,950</w:t>
            </w:r>
          </w:p>
        </w:tc>
        <w:tc>
          <w:tcPr>
            <w:tcW w:w="523" w:type="pct"/>
          </w:tcPr>
          <w:p w:rsidR="00E659A9" w:rsidRPr="0051775B" w:rsidRDefault="00E659A9" w:rsidP="001731FC">
            <w:pPr>
              <w:jc w:val="center"/>
              <w:rPr>
                <w:sz w:val="18"/>
                <w:szCs w:val="18"/>
              </w:rPr>
            </w:pPr>
            <w:r>
              <w:rPr>
                <w:sz w:val="18"/>
                <w:szCs w:val="18"/>
              </w:rPr>
              <w:t>0,685</w:t>
            </w:r>
          </w:p>
        </w:tc>
        <w:tc>
          <w:tcPr>
            <w:tcW w:w="597" w:type="pct"/>
          </w:tcPr>
          <w:p w:rsidR="00E659A9" w:rsidRPr="0051775B" w:rsidRDefault="00E659A9" w:rsidP="001731FC">
            <w:pPr>
              <w:jc w:val="center"/>
              <w:rPr>
                <w:sz w:val="18"/>
                <w:szCs w:val="18"/>
              </w:rPr>
            </w:pPr>
            <w:r>
              <w:rPr>
                <w:sz w:val="18"/>
                <w:szCs w:val="18"/>
              </w:rPr>
              <w:t>0,776</w:t>
            </w:r>
          </w:p>
        </w:tc>
        <w:tc>
          <w:tcPr>
            <w:tcW w:w="597" w:type="pct"/>
          </w:tcPr>
          <w:p w:rsidR="00E659A9" w:rsidRPr="0051775B" w:rsidRDefault="00E659A9" w:rsidP="001731FC">
            <w:pPr>
              <w:jc w:val="center"/>
              <w:rPr>
                <w:sz w:val="18"/>
                <w:szCs w:val="18"/>
              </w:rPr>
            </w:pPr>
            <w:r>
              <w:rPr>
                <w:sz w:val="18"/>
                <w:szCs w:val="18"/>
              </w:rPr>
              <w:t>0,838</w:t>
            </w:r>
          </w:p>
        </w:tc>
        <w:tc>
          <w:tcPr>
            <w:tcW w:w="597" w:type="pct"/>
          </w:tcPr>
          <w:p w:rsidR="00E659A9" w:rsidRPr="0051775B" w:rsidRDefault="00E659A9" w:rsidP="001731FC">
            <w:pPr>
              <w:jc w:val="center"/>
              <w:rPr>
                <w:sz w:val="18"/>
                <w:szCs w:val="18"/>
              </w:rPr>
            </w:pPr>
            <w:r>
              <w:rPr>
                <w:sz w:val="18"/>
                <w:szCs w:val="18"/>
              </w:rPr>
              <w:t>0,948</w:t>
            </w:r>
          </w:p>
        </w:tc>
        <w:tc>
          <w:tcPr>
            <w:tcW w:w="597" w:type="pct"/>
          </w:tcPr>
          <w:p w:rsidR="00E659A9" w:rsidRPr="0051775B" w:rsidRDefault="00E659A9" w:rsidP="001731FC">
            <w:pPr>
              <w:jc w:val="center"/>
              <w:rPr>
                <w:sz w:val="18"/>
                <w:szCs w:val="18"/>
              </w:rPr>
            </w:pPr>
            <w:r>
              <w:rPr>
                <w:sz w:val="18"/>
                <w:szCs w:val="18"/>
              </w:rPr>
              <w:t>0,619</w:t>
            </w:r>
          </w:p>
        </w:tc>
      </w:tr>
    </w:tbl>
    <w:p w:rsidR="009E5AE5" w:rsidRDefault="009E5AE5"/>
    <w:p w:rsidR="009E5AE5" w:rsidRDefault="009E5AE5">
      <w:r>
        <w:br w:type="page"/>
      </w:r>
    </w:p>
    <w:p w:rsidR="00E659A9" w:rsidRPr="00833EE8" w:rsidRDefault="00E659A9" w:rsidP="009E5AE5">
      <w:pPr>
        <w:pStyle w:val="Tablolar6"/>
      </w:pPr>
      <w:bookmarkStart w:id="56" w:name="_Toc492677374"/>
      <w:r w:rsidRPr="00833EE8">
        <w:lastRenderedPageBreak/>
        <w:t xml:space="preserve">Tablo </w:t>
      </w:r>
      <w:r w:rsidR="007259BF">
        <w:t>3.</w:t>
      </w:r>
      <w:r w:rsidRPr="00833EE8">
        <w:t>7</w:t>
      </w:r>
      <w:r w:rsidR="009E5AE5">
        <w:t>b.</w:t>
      </w:r>
      <w:r>
        <w:t xml:space="preserve"> </w:t>
      </w:r>
      <w:r w:rsidRPr="009E5AE5">
        <w:rPr>
          <w:b w:val="0"/>
        </w:rPr>
        <w:t>Ajite salinin BHT faz-II dip yanıtına olan etkisi II</w:t>
      </w:r>
      <w:bookmarkEnd w:id="56"/>
    </w:p>
    <w:tbl>
      <w:tblPr>
        <w:tblStyle w:val="TabloKlavuzu"/>
        <w:tblW w:w="5000" w:type="pct"/>
        <w:tblLook w:val="04A0" w:firstRow="1" w:lastRow="0" w:firstColumn="1" w:lastColumn="0" w:noHBand="0" w:noVBand="1"/>
      </w:tblPr>
      <w:tblGrid>
        <w:gridCol w:w="4206"/>
        <w:gridCol w:w="1403"/>
        <w:gridCol w:w="1405"/>
        <w:gridCol w:w="1603"/>
        <w:gridCol w:w="1603"/>
        <w:gridCol w:w="1603"/>
        <w:gridCol w:w="1603"/>
      </w:tblGrid>
      <w:tr w:rsidR="00E659A9" w:rsidRPr="00C35108" w:rsidTr="009E5AE5">
        <w:tc>
          <w:tcPr>
            <w:tcW w:w="1565" w:type="pct"/>
            <w:shd w:val="clear" w:color="auto" w:fill="F2F2F2" w:themeFill="background1" w:themeFillShade="F2"/>
          </w:tcPr>
          <w:p w:rsidR="00E659A9" w:rsidRPr="00C35108" w:rsidRDefault="00E659A9" w:rsidP="001731FC">
            <w:pPr>
              <w:rPr>
                <w:b/>
                <w:sz w:val="18"/>
                <w:szCs w:val="18"/>
              </w:rPr>
            </w:pPr>
            <w:r w:rsidRPr="00C35108">
              <w:rPr>
                <w:b/>
                <w:sz w:val="18"/>
                <w:szCs w:val="18"/>
              </w:rPr>
              <w:t>Grup</w:t>
            </w:r>
          </w:p>
        </w:tc>
        <w:tc>
          <w:tcPr>
            <w:tcW w:w="522"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1</w:t>
            </w:r>
          </w:p>
        </w:tc>
        <w:tc>
          <w:tcPr>
            <w:tcW w:w="523"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2</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3</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4</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5</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6</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Migren</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Aura</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PFO</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tcPr>
          <w:p w:rsidR="00E659A9" w:rsidRPr="0051775B" w:rsidRDefault="00E659A9" w:rsidP="001731FC">
            <w:pPr>
              <w:rPr>
                <w:sz w:val="18"/>
                <w:szCs w:val="18"/>
              </w:rPr>
            </w:pPr>
            <w:r w:rsidRPr="0051775B">
              <w:rPr>
                <w:sz w:val="18"/>
                <w:szCs w:val="18"/>
              </w:rPr>
              <w:t>N</w:t>
            </w:r>
          </w:p>
        </w:tc>
        <w:tc>
          <w:tcPr>
            <w:tcW w:w="522" w:type="pct"/>
          </w:tcPr>
          <w:p w:rsidR="00E659A9" w:rsidRPr="0051775B" w:rsidRDefault="00E659A9" w:rsidP="001731FC">
            <w:pPr>
              <w:jc w:val="center"/>
              <w:rPr>
                <w:sz w:val="18"/>
                <w:szCs w:val="18"/>
              </w:rPr>
            </w:pPr>
            <w:r w:rsidRPr="0051775B">
              <w:rPr>
                <w:sz w:val="18"/>
                <w:szCs w:val="18"/>
              </w:rPr>
              <w:t>10</w:t>
            </w:r>
          </w:p>
        </w:tc>
        <w:tc>
          <w:tcPr>
            <w:tcW w:w="523" w:type="pct"/>
          </w:tcPr>
          <w:p w:rsidR="00E659A9" w:rsidRPr="0051775B" w:rsidRDefault="00E659A9" w:rsidP="001731FC">
            <w:pPr>
              <w:jc w:val="center"/>
              <w:rPr>
                <w:sz w:val="18"/>
                <w:szCs w:val="18"/>
              </w:rPr>
            </w:pPr>
            <w:r w:rsidRPr="0051775B">
              <w:rPr>
                <w:sz w:val="18"/>
                <w:szCs w:val="18"/>
              </w:rPr>
              <w:t>8</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 xml:space="preserve">dip (faz-2) </w:t>
            </w:r>
            <w:r w:rsidRPr="0051775B">
              <w:rPr>
                <w:sz w:val="18"/>
                <w:szCs w:val="18"/>
              </w:rPr>
              <w:t>PCA all</w:t>
            </w:r>
          </w:p>
        </w:tc>
        <w:tc>
          <w:tcPr>
            <w:tcW w:w="522" w:type="pct"/>
          </w:tcPr>
          <w:p w:rsidR="00E659A9" w:rsidRPr="004D283F" w:rsidRDefault="00E659A9" w:rsidP="001731FC">
            <w:pPr>
              <w:jc w:val="center"/>
              <w:rPr>
                <w:sz w:val="18"/>
                <w:szCs w:val="18"/>
              </w:rPr>
            </w:pPr>
            <w:r w:rsidRPr="004D283F">
              <w:rPr>
                <w:sz w:val="18"/>
                <w:szCs w:val="18"/>
              </w:rPr>
              <w:t>6,1</w:t>
            </w:r>
            <w:r w:rsidRPr="004D283F">
              <w:rPr>
                <w:rFonts w:cstheme="minorHAnsi"/>
                <w:sz w:val="18"/>
                <w:szCs w:val="18"/>
              </w:rPr>
              <w:t>±7,2</w:t>
            </w:r>
          </w:p>
        </w:tc>
        <w:tc>
          <w:tcPr>
            <w:tcW w:w="523" w:type="pct"/>
          </w:tcPr>
          <w:p w:rsidR="00E659A9" w:rsidRPr="0051775B" w:rsidRDefault="00E659A9" w:rsidP="001731FC">
            <w:pPr>
              <w:jc w:val="center"/>
              <w:rPr>
                <w:sz w:val="18"/>
                <w:szCs w:val="18"/>
              </w:rPr>
            </w:pPr>
            <w:r>
              <w:rPr>
                <w:rFonts w:cstheme="minorHAnsi"/>
                <w:sz w:val="18"/>
                <w:szCs w:val="18"/>
              </w:rPr>
              <w:t>8,2±7,9</w:t>
            </w:r>
          </w:p>
        </w:tc>
        <w:tc>
          <w:tcPr>
            <w:tcW w:w="597" w:type="pct"/>
          </w:tcPr>
          <w:p w:rsidR="00E659A9" w:rsidRPr="0051775B" w:rsidRDefault="00E659A9" w:rsidP="001731FC">
            <w:pPr>
              <w:jc w:val="center"/>
              <w:rPr>
                <w:sz w:val="18"/>
                <w:szCs w:val="18"/>
              </w:rPr>
            </w:pPr>
            <w:r>
              <w:rPr>
                <w:sz w:val="18"/>
                <w:szCs w:val="18"/>
              </w:rPr>
              <w:t>9,0</w:t>
            </w:r>
            <w:r>
              <w:rPr>
                <w:rFonts w:cstheme="minorHAnsi"/>
                <w:sz w:val="18"/>
                <w:szCs w:val="18"/>
              </w:rPr>
              <w:t>±6,4</w:t>
            </w:r>
          </w:p>
        </w:tc>
        <w:tc>
          <w:tcPr>
            <w:tcW w:w="597" w:type="pct"/>
          </w:tcPr>
          <w:p w:rsidR="00E659A9" w:rsidRPr="00C25306" w:rsidRDefault="00E659A9" w:rsidP="001731FC">
            <w:pPr>
              <w:jc w:val="center"/>
              <w:rPr>
                <w:sz w:val="18"/>
                <w:szCs w:val="18"/>
              </w:rPr>
            </w:pPr>
            <w:r w:rsidRPr="00C25306">
              <w:rPr>
                <w:sz w:val="18"/>
                <w:szCs w:val="18"/>
              </w:rPr>
              <w:t>11,0</w:t>
            </w:r>
            <w:r w:rsidRPr="00C25306">
              <w:rPr>
                <w:rFonts w:cstheme="minorHAnsi"/>
                <w:sz w:val="18"/>
                <w:szCs w:val="18"/>
              </w:rPr>
              <w:t>±10,1</w:t>
            </w:r>
          </w:p>
        </w:tc>
        <w:tc>
          <w:tcPr>
            <w:tcW w:w="597" w:type="pct"/>
          </w:tcPr>
          <w:p w:rsidR="00E659A9" w:rsidRPr="0051775B" w:rsidRDefault="00E659A9" w:rsidP="001731FC">
            <w:pPr>
              <w:jc w:val="center"/>
              <w:rPr>
                <w:sz w:val="18"/>
                <w:szCs w:val="18"/>
              </w:rPr>
            </w:pPr>
            <w:r>
              <w:rPr>
                <w:sz w:val="18"/>
                <w:szCs w:val="18"/>
              </w:rPr>
              <w:t>9,1</w:t>
            </w:r>
            <w:r>
              <w:rPr>
                <w:rFonts w:cstheme="minorHAnsi"/>
                <w:sz w:val="18"/>
                <w:szCs w:val="18"/>
              </w:rPr>
              <w:t>±11,5</w:t>
            </w:r>
          </w:p>
        </w:tc>
        <w:tc>
          <w:tcPr>
            <w:tcW w:w="597" w:type="pct"/>
          </w:tcPr>
          <w:p w:rsidR="00E659A9" w:rsidRPr="0051775B" w:rsidRDefault="00E659A9" w:rsidP="001731FC">
            <w:pPr>
              <w:jc w:val="center"/>
              <w:rPr>
                <w:sz w:val="18"/>
                <w:szCs w:val="18"/>
              </w:rPr>
            </w:pPr>
            <w:r>
              <w:rPr>
                <w:sz w:val="18"/>
                <w:szCs w:val="18"/>
              </w:rPr>
              <w:t>9,7</w:t>
            </w:r>
            <w:r>
              <w:rPr>
                <w:rFonts w:cstheme="minorHAnsi"/>
                <w:sz w:val="18"/>
                <w:szCs w:val="18"/>
              </w:rPr>
              <w:t>±5,9</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dip (faz-2)</w:t>
            </w:r>
            <w:r w:rsidRPr="0051775B">
              <w:rPr>
                <w:sz w:val="18"/>
                <w:szCs w:val="18"/>
              </w:rPr>
              <w:t xml:space="preserve"> PCA all</w:t>
            </w:r>
          </w:p>
        </w:tc>
        <w:tc>
          <w:tcPr>
            <w:tcW w:w="522" w:type="pct"/>
          </w:tcPr>
          <w:p w:rsidR="00E659A9" w:rsidRPr="004D283F" w:rsidRDefault="00E659A9" w:rsidP="001731FC">
            <w:pPr>
              <w:jc w:val="center"/>
              <w:rPr>
                <w:sz w:val="18"/>
                <w:szCs w:val="18"/>
              </w:rPr>
            </w:pPr>
            <w:r w:rsidRPr="004D283F">
              <w:rPr>
                <w:sz w:val="18"/>
                <w:szCs w:val="18"/>
              </w:rPr>
              <w:t>12,8</w:t>
            </w:r>
            <w:r w:rsidRPr="004D283F">
              <w:rPr>
                <w:rFonts w:cstheme="minorHAnsi"/>
                <w:sz w:val="18"/>
                <w:szCs w:val="18"/>
              </w:rPr>
              <w:t>±6,8</w:t>
            </w:r>
          </w:p>
        </w:tc>
        <w:tc>
          <w:tcPr>
            <w:tcW w:w="523" w:type="pct"/>
          </w:tcPr>
          <w:p w:rsidR="00E659A9" w:rsidRPr="0051775B" w:rsidRDefault="00E659A9" w:rsidP="001731FC">
            <w:pPr>
              <w:jc w:val="center"/>
              <w:rPr>
                <w:sz w:val="18"/>
                <w:szCs w:val="18"/>
              </w:rPr>
            </w:pPr>
            <w:r>
              <w:rPr>
                <w:sz w:val="18"/>
                <w:szCs w:val="18"/>
              </w:rPr>
              <w:t>13,0</w:t>
            </w:r>
            <w:r>
              <w:rPr>
                <w:rFonts w:cstheme="minorHAnsi"/>
                <w:sz w:val="18"/>
                <w:szCs w:val="18"/>
              </w:rPr>
              <w:t>±6,1</w:t>
            </w:r>
          </w:p>
        </w:tc>
        <w:tc>
          <w:tcPr>
            <w:tcW w:w="597" w:type="pct"/>
          </w:tcPr>
          <w:p w:rsidR="00E659A9" w:rsidRPr="0051775B" w:rsidRDefault="00E659A9" w:rsidP="001731FC">
            <w:pPr>
              <w:jc w:val="center"/>
              <w:rPr>
                <w:sz w:val="18"/>
                <w:szCs w:val="18"/>
              </w:rPr>
            </w:pPr>
            <w:r>
              <w:rPr>
                <w:sz w:val="18"/>
                <w:szCs w:val="18"/>
              </w:rPr>
              <w:t>11,6</w:t>
            </w:r>
            <w:r>
              <w:rPr>
                <w:rFonts w:cstheme="minorHAnsi"/>
                <w:sz w:val="18"/>
                <w:szCs w:val="18"/>
              </w:rPr>
              <w:t>±11,5</w:t>
            </w:r>
          </w:p>
        </w:tc>
        <w:tc>
          <w:tcPr>
            <w:tcW w:w="597" w:type="pct"/>
          </w:tcPr>
          <w:p w:rsidR="00E659A9" w:rsidRPr="00C25306" w:rsidRDefault="00E659A9" w:rsidP="001731FC">
            <w:pPr>
              <w:jc w:val="center"/>
              <w:rPr>
                <w:sz w:val="18"/>
                <w:szCs w:val="18"/>
              </w:rPr>
            </w:pPr>
            <w:r w:rsidRPr="00C25306">
              <w:rPr>
                <w:sz w:val="18"/>
                <w:szCs w:val="18"/>
              </w:rPr>
              <w:t>13,8</w:t>
            </w:r>
            <w:r w:rsidRPr="00C25306">
              <w:rPr>
                <w:rFonts w:cstheme="minorHAnsi"/>
                <w:sz w:val="18"/>
                <w:szCs w:val="18"/>
              </w:rPr>
              <w:t>±4,3</w:t>
            </w:r>
          </w:p>
        </w:tc>
        <w:tc>
          <w:tcPr>
            <w:tcW w:w="597" w:type="pct"/>
          </w:tcPr>
          <w:p w:rsidR="00E659A9" w:rsidRPr="0051775B" w:rsidRDefault="00E659A9" w:rsidP="001731FC">
            <w:pPr>
              <w:jc w:val="center"/>
              <w:rPr>
                <w:sz w:val="18"/>
                <w:szCs w:val="18"/>
              </w:rPr>
            </w:pPr>
            <w:r>
              <w:rPr>
                <w:sz w:val="18"/>
                <w:szCs w:val="18"/>
              </w:rPr>
              <w:t>11,9</w:t>
            </w:r>
            <w:r>
              <w:rPr>
                <w:rFonts w:cstheme="minorHAnsi"/>
                <w:sz w:val="18"/>
                <w:szCs w:val="18"/>
              </w:rPr>
              <w:t>±5,7</w:t>
            </w:r>
          </w:p>
        </w:tc>
        <w:tc>
          <w:tcPr>
            <w:tcW w:w="597" w:type="pct"/>
          </w:tcPr>
          <w:p w:rsidR="00E659A9" w:rsidRPr="0051775B" w:rsidRDefault="00E659A9" w:rsidP="001731FC">
            <w:pPr>
              <w:jc w:val="center"/>
              <w:rPr>
                <w:sz w:val="18"/>
                <w:szCs w:val="18"/>
              </w:rPr>
            </w:pPr>
            <w:r>
              <w:rPr>
                <w:sz w:val="18"/>
                <w:szCs w:val="18"/>
              </w:rPr>
              <w:t>10,2</w:t>
            </w:r>
            <w:r>
              <w:rPr>
                <w:rFonts w:cstheme="minorHAnsi"/>
                <w:sz w:val="18"/>
                <w:szCs w:val="18"/>
              </w:rPr>
              <w:t>±7,9</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4D283F" w:rsidRDefault="00E659A9" w:rsidP="001731FC">
            <w:pPr>
              <w:jc w:val="center"/>
              <w:rPr>
                <w:sz w:val="18"/>
                <w:szCs w:val="18"/>
              </w:rPr>
            </w:pPr>
            <w:r w:rsidRPr="004D283F">
              <w:rPr>
                <w:sz w:val="18"/>
                <w:szCs w:val="18"/>
              </w:rPr>
              <w:t>0,066</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0,180</w:t>
            </w:r>
          </w:p>
        </w:tc>
        <w:tc>
          <w:tcPr>
            <w:tcW w:w="597" w:type="pct"/>
            <w:shd w:val="clear" w:color="auto" w:fill="F2F2F2" w:themeFill="background1" w:themeFillShade="F2"/>
          </w:tcPr>
          <w:p w:rsidR="00E659A9" w:rsidRPr="00C35108" w:rsidRDefault="00E659A9" w:rsidP="001731FC">
            <w:pPr>
              <w:jc w:val="center"/>
              <w:rPr>
                <w:sz w:val="18"/>
                <w:szCs w:val="18"/>
                <w:highlight w:val="yellow"/>
              </w:rPr>
            </w:pPr>
            <w:r w:rsidRPr="004145CE">
              <w:rPr>
                <w:sz w:val="18"/>
                <w:szCs w:val="18"/>
              </w:rPr>
              <w:t>0,484</w:t>
            </w:r>
          </w:p>
        </w:tc>
        <w:tc>
          <w:tcPr>
            <w:tcW w:w="597" w:type="pct"/>
            <w:shd w:val="clear" w:color="auto" w:fill="F2F2F2" w:themeFill="background1" w:themeFillShade="F2"/>
          </w:tcPr>
          <w:p w:rsidR="00E659A9" w:rsidRPr="00C25306" w:rsidRDefault="00E659A9" w:rsidP="001731FC">
            <w:pPr>
              <w:jc w:val="center"/>
              <w:rPr>
                <w:sz w:val="18"/>
                <w:szCs w:val="18"/>
              </w:rPr>
            </w:pPr>
            <w:r w:rsidRPr="00C25306">
              <w:rPr>
                <w:sz w:val="18"/>
                <w:szCs w:val="18"/>
              </w:rPr>
              <w:t>0,508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0,493</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0,785</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dip (faz-2) PCA ipsil.</w:t>
            </w:r>
          </w:p>
        </w:tc>
        <w:tc>
          <w:tcPr>
            <w:tcW w:w="522" w:type="pct"/>
          </w:tcPr>
          <w:p w:rsidR="00E659A9" w:rsidRPr="0051775B" w:rsidRDefault="00E659A9" w:rsidP="001731FC">
            <w:pPr>
              <w:jc w:val="center"/>
              <w:rPr>
                <w:sz w:val="18"/>
                <w:szCs w:val="18"/>
              </w:rPr>
            </w:pPr>
            <w:r>
              <w:rPr>
                <w:sz w:val="18"/>
                <w:szCs w:val="18"/>
              </w:rPr>
              <w:t>7,4</w:t>
            </w:r>
            <w:r>
              <w:rPr>
                <w:rFonts w:cstheme="minorHAnsi"/>
                <w:sz w:val="18"/>
                <w:szCs w:val="18"/>
              </w:rPr>
              <w:t>±7,6</w:t>
            </w:r>
          </w:p>
        </w:tc>
        <w:tc>
          <w:tcPr>
            <w:tcW w:w="523" w:type="pct"/>
          </w:tcPr>
          <w:p w:rsidR="00E659A9" w:rsidRPr="0051775B" w:rsidRDefault="00E659A9" w:rsidP="001731FC">
            <w:pPr>
              <w:jc w:val="center"/>
              <w:rPr>
                <w:sz w:val="18"/>
                <w:szCs w:val="18"/>
              </w:rPr>
            </w:pPr>
            <w:r>
              <w:rPr>
                <w:sz w:val="18"/>
                <w:szCs w:val="18"/>
              </w:rPr>
              <w:t>10,3</w:t>
            </w:r>
            <w:r>
              <w:rPr>
                <w:rFonts w:cstheme="minorHAnsi"/>
                <w:sz w:val="18"/>
                <w:szCs w:val="18"/>
              </w:rPr>
              <w:t>±10,8</w:t>
            </w:r>
          </w:p>
        </w:tc>
        <w:tc>
          <w:tcPr>
            <w:tcW w:w="597" w:type="pct"/>
          </w:tcPr>
          <w:p w:rsidR="00E659A9" w:rsidRPr="0051775B" w:rsidRDefault="00E659A9" w:rsidP="001731FC">
            <w:pPr>
              <w:jc w:val="center"/>
              <w:rPr>
                <w:sz w:val="18"/>
                <w:szCs w:val="18"/>
              </w:rPr>
            </w:pPr>
            <w:r>
              <w:rPr>
                <w:sz w:val="18"/>
                <w:szCs w:val="18"/>
              </w:rPr>
              <w:t>6,8</w:t>
            </w:r>
            <w:r>
              <w:rPr>
                <w:rFonts w:cstheme="minorHAnsi"/>
                <w:sz w:val="18"/>
                <w:szCs w:val="18"/>
              </w:rPr>
              <w:t>±3,5</w:t>
            </w:r>
          </w:p>
        </w:tc>
        <w:tc>
          <w:tcPr>
            <w:tcW w:w="597" w:type="pct"/>
          </w:tcPr>
          <w:p w:rsidR="00E659A9" w:rsidRPr="0051775B" w:rsidRDefault="00E659A9" w:rsidP="001731FC">
            <w:pPr>
              <w:jc w:val="center"/>
              <w:rPr>
                <w:sz w:val="18"/>
                <w:szCs w:val="18"/>
              </w:rPr>
            </w:pPr>
            <w:r>
              <w:rPr>
                <w:sz w:val="18"/>
                <w:szCs w:val="18"/>
              </w:rPr>
              <w:t>10,0</w:t>
            </w:r>
            <w:r>
              <w:rPr>
                <w:rFonts w:cstheme="minorHAnsi"/>
                <w:sz w:val="18"/>
                <w:szCs w:val="18"/>
              </w:rPr>
              <w:t>±9,2</w:t>
            </w:r>
          </w:p>
        </w:tc>
        <w:tc>
          <w:tcPr>
            <w:tcW w:w="597" w:type="pct"/>
          </w:tcPr>
          <w:p w:rsidR="00E659A9" w:rsidRPr="0051775B" w:rsidRDefault="00E659A9" w:rsidP="001731FC">
            <w:pPr>
              <w:jc w:val="center"/>
              <w:rPr>
                <w:sz w:val="18"/>
                <w:szCs w:val="18"/>
              </w:rPr>
            </w:pPr>
            <w:r>
              <w:rPr>
                <w:sz w:val="18"/>
                <w:szCs w:val="18"/>
              </w:rPr>
              <w:t>8,0</w:t>
            </w:r>
            <w:r>
              <w:rPr>
                <w:rFonts w:cstheme="minorHAnsi"/>
                <w:sz w:val="18"/>
                <w:szCs w:val="18"/>
              </w:rPr>
              <w:t>±13,5</w:t>
            </w:r>
          </w:p>
        </w:tc>
        <w:tc>
          <w:tcPr>
            <w:tcW w:w="597" w:type="pct"/>
          </w:tcPr>
          <w:p w:rsidR="00E659A9" w:rsidRPr="0051775B" w:rsidRDefault="00E659A9" w:rsidP="001731FC">
            <w:pPr>
              <w:jc w:val="center"/>
              <w:rPr>
                <w:sz w:val="18"/>
                <w:szCs w:val="18"/>
              </w:rPr>
            </w:pPr>
            <w:r>
              <w:rPr>
                <w:sz w:val="18"/>
                <w:szCs w:val="18"/>
              </w:rPr>
              <w:t>8,2</w:t>
            </w:r>
            <w:r>
              <w:rPr>
                <w:rFonts w:cstheme="minorHAnsi"/>
                <w:sz w:val="18"/>
                <w:szCs w:val="18"/>
              </w:rPr>
              <w:t>±6,3</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dip (faz-2) PCA ipsi.</w:t>
            </w:r>
          </w:p>
        </w:tc>
        <w:tc>
          <w:tcPr>
            <w:tcW w:w="522" w:type="pct"/>
          </w:tcPr>
          <w:p w:rsidR="00E659A9" w:rsidRPr="0051775B" w:rsidRDefault="00E659A9" w:rsidP="001731FC">
            <w:pPr>
              <w:jc w:val="center"/>
              <w:rPr>
                <w:sz w:val="18"/>
                <w:szCs w:val="18"/>
              </w:rPr>
            </w:pPr>
            <w:r>
              <w:rPr>
                <w:sz w:val="18"/>
                <w:szCs w:val="18"/>
              </w:rPr>
              <w:t>12,4</w:t>
            </w:r>
            <w:r>
              <w:rPr>
                <w:rFonts w:cstheme="minorHAnsi"/>
                <w:sz w:val="18"/>
                <w:szCs w:val="18"/>
              </w:rPr>
              <w:t>±7,7</w:t>
            </w:r>
          </w:p>
        </w:tc>
        <w:tc>
          <w:tcPr>
            <w:tcW w:w="523" w:type="pct"/>
          </w:tcPr>
          <w:p w:rsidR="00E659A9" w:rsidRPr="0051775B" w:rsidRDefault="00E659A9" w:rsidP="001731FC">
            <w:pPr>
              <w:jc w:val="center"/>
              <w:rPr>
                <w:sz w:val="18"/>
                <w:szCs w:val="18"/>
              </w:rPr>
            </w:pPr>
            <w:r>
              <w:rPr>
                <w:sz w:val="18"/>
                <w:szCs w:val="18"/>
              </w:rPr>
              <w:t>13,0</w:t>
            </w:r>
            <w:r>
              <w:rPr>
                <w:rFonts w:cstheme="minorHAnsi"/>
                <w:sz w:val="18"/>
                <w:szCs w:val="18"/>
              </w:rPr>
              <w:t>±6,8</w:t>
            </w:r>
          </w:p>
        </w:tc>
        <w:tc>
          <w:tcPr>
            <w:tcW w:w="597" w:type="pct"/>
          </w:tcPr>
          <w:p w:rsidR="00E659A9" w:rsidRPr="0051775B" w:rsidRDefault="00E659A9" w:rsidP="001731FC">
            <w:pPr>
              <w:jc w:val="center"/>
              <w:rPr>
                <w:sz w:val="18"/>
                <w:szCs w:val="18"/>
              </w:rPr>
            </w:pPr>
            <w:r>
              <w:rPr>
                <w:sz w:val="18"/>
                <w:szCs w:val="18"/>
              </w:rPr>
              <w:t>4,5</w:t>
            </w:r>
            <w:r>
              <w:rPr>
                <w:rFonts w:cstheme="minorHAnsi"/>
                <w:sz w:val="18"/>
                <w:szCs w:val="18"/>
              </w:rPr>
              <w:t>±2,9</w:t>
            </w:r>
          </w:p>
        </w:tc>
        <w:tc>
          <w:tcPr>
            <w:tcW w:w="597" w:type="pct"/>
          </w:tcPr>
          <w:p w:rsidR="00E659A9" w:rsidRPr="0051775B" w:rsidRDefault="00E659A9" w:rsidP="001731FC">
            <w:pPr>
              <w:jc w:val="center"/>
              <w:rPr>
                <w:sz w:val="18"/>
                <w:szCs w:val="18"/>
              </w:rPr>
            </w:pPr>
            <w:r>
              <w:rPr>
                <w:sz w:val="18"/>
                <w:szCs w:val="18"/>
              </w:rPr>
              <w:t>14,5</w:t>
            </w:r>
            <w:r>
              <w:rPr>
                <w:rFonts w:cstheme="minorHAnsi"/>
                <w:sz w:val="18"/>
                <w:szCs w:val="18"/>
              </w:rPr>
              <w:t>±7,1</w:t>
            </w:r>
          </w:p>
        </w:tc>
        <w:tc>
          <w:tcPr>
            <w:tcW w:w="597" w:type="pct"/>
          </w:tcPr>
          <w:p w:rsidR="00E659A9" w:rsidRPr="0051775B" w:rsidRDefault="00E659A9" w:rsidP="001731FC">
            <w:pPr>
              <w:jc w:val="center"/>
              <w:rPr>
                <w:sz w:val="18"/>
                <w:szCs w:val="18"/>
              </w:rPr>
            </w:pPr>
            <w:r>
              <w:rPr>
                <w:sz w:val="18"/>
                <w:szCs w:val="18"/>
              </w:rPr>
              <w:t>11,4</w:t>
            </w:r>
            <w:r>
              <w:rPr>
                <w:rFonts w:cstheme="minorHAnsi"/>
                <w:sz w:val="18"/>
                <w:szCs w:val="18"/>
              </w:rPr>
              <w:t>±6,9</w:t>
            </w:r>
          </w:p>
        </w:tc>
        <w:tc>
          <w:tcPr>
            <w:tcW w:w="597" w:type="pct"/>
          </w:tcPr>
          <w:p w:rsidR="00E659A9" w:rsidRPr="0051775B" w:rsidRDefault="00E659A9" w:rsidP="001731FC">
            <w:pPr>
              <w:jc w:val="center"/>
              <w:rPr>
                <w:sz w:val="18"/>
                <w:szCs w:val="18"/>
              </w:rPr>
            </w:pPr>
            <w:r>
              <w:rPr>
                <w:sz w:val="18"/>
                <w:szCs w:val="18"/>
              </w:rPr>
              <w:t>7,7</w:t>
            </w:r>
            <w:r>
              <w:rPr>
                <w:rFonts w:cstheme="minorHAnsi"/>
                <w:sz w:val="18"/>
                <w:szCs w:val="18"/>
              </w:rPr>
              <w:t>±9,0</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0,212</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0,586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0,395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0,428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0,499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0,864</w:t>
            </w:r>
          </w:p>
        </w:tc>
      </w:tr>
      <w:tr w:rsidR="00E659A9" w:rsidRPr="00886F99" w:rsidTr="009E5AE5">
        <w:tc>
          <w:tcPr>
            <w:tcW w:w="1565" w:type="pct"/>
          </w:tcPr>
          <w:p w:rsidR="00E659A9" w:rsidRPr="00886F99" w:rsidRDefault="00E659A9" w:rsidP="001731FC">
            <w:pPr>
              <w:rPr>
                <w:sz w:val="18"/>
                <w:szCs w:val="18"/>
              </w:rPr>
            </w:pPr>
            <w:r w:rsidRPr="00886F99">
              <w:rPr>
                <w:sz w:val="18"/>
                <w:szCs w:val="18"/>
              </w:rPr>
              <w:t>PRE-BUBBLE %</w:t>
            </w:r>
            <w:r w:rsidRPr="00886F99">
              <w:rPr>
                <w:sz w:val="18"/>
                <w:szCs w:val="18"/>
              </w:rPr>
              <w:sym w:font="Symbol" w:char="F0AF"/>
            </w:r>
            <w:r w:rsidRPr="00886F99">
              <w:rPr>
                <w:sz w:val="18"/>
                <w:szCs w:val="18"/>
              </w:rPr>
              <w:t xml:space="preserve"> dip (faz-2) PCA cont.</w:t>
            </w:r>
          </w:p>
        </w:tc>
        <w:tc>
          <w:tcPr>
            <w:tcW w:w="522" w:type="pct"/>
          </w:tcPr>
          <w:p w:rsidR="00E659A9" w:rsidRPr="00461F9A" w:rsidRDefault="00E659A9" w:rsidP="001731FC">
            <w:pPr>
              <w:jc w:val="center"/>
              <w:rPr>
                <w:sz w:val="18"/>
                <w:szCs w:val="18"/>
              </w:rPr>
            </w:pPr>
            <w:r w:rsidRPr="00461F9A">
              <w:rPr>
                <w:sz w:val="18"/>
                <w:szCs w:val="18"/>
              </w:rPr>
              <w:t>6,2</w:t>
            </w:r>
            <w:r w:rsidRPr="00461F9A">
              <w:rPr>
                <w:rFonts w:cstheme="minorHAnsi"/>
                <w:sz w:val="18"/>
                <w:szCs w:val="18"/>
              </w:rPr>
              <w:t>±6,5</w:t>
            </w:r>
          </w:p>
        </w:tc>
        <w:tc>
          <w:tcPr>
            <w:tcW w:w="523" w:type="pct"/>
          </w:tcPr>
          <w:p w:rsidR="00E659A9" w:rsidRPr="00461F9A" w:rsidRDefault="00E659A9" w:rsidP="001731FC">
            <w:pPr>
              <w:jc w:val="center"/>
              <w:rPr>
                <w:sz w:val="18"/>
                <w:szCs w:val="18"/>
              </w:rPr>
            </w:pPr>
            <w:r w:rsidRPr="00461F9A">
              <w:rPr>
                <w:sz w:val="18"/>
                <w:szCs w:val="18"/>
              </w:rPr>
              <w:t>6,1</w:t>
            </w:r>
            <w:r w:rsidRPr="00461F9A">
              <w:rPr>
                <w:rFonts w:cstheme="minorHAnsi"/>
                <w:sz w:val="18"/>
                <w:szCs w:val="18"/>
              </w:rPr>
              <w:t>±7,2</w:t>
            </w:r>
          </w:p>
        </w:tc>
        <w:tc>
          <w:tcPr>
            <w:tcW w:w="597" w:type="pct"/>
          </w:tcPr>
          <w:p w:rsidR="00E659A9" w:rsidRPr="00886F99" w:rsidRDefault="00E659A9" w:rsidP="001731FC">
            <w:pPr>
              <w:jc w:val="center"/>
              <w:rPr>
                <w:sz w:val="18"/>
                <w:szCs w:val="18"/>
              </w:rPr>
            </w:pPr>
            <w:r w:rsidRPr="00886F99">
              <w:rPr>
                <w:sz w:val="18"/>
                <w:szCs w:val="18"/>
              </w:rPr>
              <w:t>9,3</w:t>
            </w:r>
            <w:r w:rsidRPr="00886F99">
              <w:rPr>
                <w:rFonts w:cstheme="minorHAnsi"/>
                <w:sz w:val="18"/>
                <w:szCs w:val="18"/>
              </w:rPr>
              <w:t>±7,4</w:t>
            </w:r>
          </w:p>
        </w:tc>
        <w:tc>
          <w:tcPr>
            <w:tcW w:w="597" w:type="pct"/>
          </w:tcPr>
          <w:p w:rsidR="00E659A9" w:rsidRPr="00886F99" w:rsidRDefault="00E659A9" w:rsidP="001731FC">
            <w:pPr>
              <w:jc w:val="center"/>
              <w:rPr>
                <w:sz w:val="18"/>
                <w:szCs w:val="18"/>
              </w:rPr>
            </w:pPr>
            <w:r w:rsidRPr="00886F99">
              <w:rPr>
                <w:sz w:val="18"/>
                <w:szCs w:val="18"/>
              </w:rPr>
              <w:t>12,1</w:t>
            </w:r>
            <w:r w:rsidRPr="00886F99">
              <w:rPr>
                <w:rFonts w:cstheme="minorHAnsi"/>
                <w:sz w:val="18"/>
                <w:szCs w:val="18"/>
              </w:rPr>
              <w:t>±12,2</w:t>
            </w:r>
          </w:p>
        </w:tc>
        <w:tc>
          <w:tcPr>
            <w:tcW w:w="597" w:type="pct"/>
          </w:tcPr>
          <w:p w:rsidR="00E659A9" w:rsidRPr="00886F99" w:rsidRDefault="00E659A9" w:rsidP="001731FC">
            <w:pPr>
              <w:jc w:val="center"/>
              <w:rPr>
                <w:sz w:val="18"/>
                <w:szCs w:val="18"/>
              </w:rPr>
            </w:pPr>
            <w:r w:rsidRPr="00886F99">
              <w:rPr>
                <w:sz w:val="18"/>
                <w:szCs w:val="18"/>
              </w:rPr>
              <w:t>10,1</w:t>
            </w:r>
            <w:r w:rsidRPr="00886F99">
              <w:rPr>
                <w:rFonts w:cstheme="minorHAnsi"/>
                <w:sz w:val="18"/>
                <w:szCs w:val="18"/>
              </w:rPr>
              <w:t>±11,6</w:t>
            </w:r>
          </w:p>
        </w:tc>
        <w:tc>
          <w:tcPr>
            <w:tcW w:w="597" w:type="pct"/>
          </w:tcPr>
          <w:p w:rsidR="00E659A9" w:rsidRPr="00886F99" w:rsidRDefault="00E659A9" w:rsidP="001731FC">
            <w:pPr>
              <w:jc w:val="center"/>
              <w:rPr>
                <w:sz w:val="18"/>
                <w:szCs w:val="18"/>
              </w:rPr>
            </w:pPr>
            <w:r w:rsidRPr="00886F99">
              <w:rPr>
                <w:sz w:val="18"/>
                <w:szCs w:val="18"/>
              </w:rPr>
              <w:t>11,2</w:t>
            </w:r>
            <w:r w:rsidRPr="00886F99">
              <w:rPr>
                <w:rFonts w:cstheme="minorHAnsi"/>
                <w:sz w:val="18"/>
                <w:szCs w:val="18"/>
              </w:rPr>
              <w:t>±6,4</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 %</w:t>
            </w:r>
            <w:r w:rsidRPr="00886F99">
              <w:rPr>
                <w:sz w:val="18"/>
                <w:szCs w:val="18"/>
              </w:rPr>
              <w:sym w:font="Symbol" w:char="F0AF"/>
            </w:r>
            <w:r w:rsidRPr="00886F99">
              <w:rPr>
                <w:sz w:val="18"/>
                <w:szCs w:val="18"/>
              </w:rPr>
              <w:t xml:space="preserve"> dip(faz-2)PCA cont.</w:t>
            </w:r>
          </w:p>
        </w:tc>
        <w:tc>
          <w:tcPr>
            <w:tcW w:w="522" w:type="pct"/>
          </w:tcPr>
          <w:p w:rsidR="00E659A9" w:rsidRPr="00461F9A" w:rsidRDefault="00E659A9" w:rsidP="001731FC">
            <w:pPr>
              <w:jc w:val="center"/>
              <w:rPr>
                <w:sz w:val="18"/>
                <w:szCs w:val="18"/>
              </w:rPr>
            </w:pPr>
            <w:r w:rsidRPr="00461F9A">
              <w:rPr>
                <w:sz w:val="18"/>
                <w:szCs w:val="18"/>
              </w:rPr>
              <w:t>13,2</w:t>
            </w:r>
            <w:r w:rsidRPr="00461F9A">
              <w:rPr>
                <w:rFonts w:cstheme="minorHAnsi"/>
                <w:sz w:val="18"/>
                <w:szCs w:val="18"/>
              </w:rPr>
              <w:t>±7,4</w:t>
            </w:r>
          </w:p>
        </w:tc>
        <w:tc>
          <w:tcPr>
            <w:tcW w:w="523" w:type="pct"/>
          </w:tcPr>
          <w:p w:rsidR="00E659A9" w:rsidRPr="00461F9A" w:rsidRDefault="00E659A9" w:rsidP="001731FC">
            <w:pPr>
              <w:jc w:val="center"/>
              <w:rPr>
                <w:sz w:val="18"/>
                <w:szCs w:val="18"/>
              </w:rPr>
            </w:pPr>
            <w:r w:rsidRPr="00461F9A">
              <w:rPr>
                <w:sz w:val="18"/>
                <w:szCs w:val="18"/>
              </w:rPr>
              <w:t>13,1</w:t>
            </w:r>
            <w:r w:rsidRPr="00461F9A">
              <w:rPr>
                <w:rFonts w:cstheme="minorHAnsi"/>
                <w:sz w:val="18"/>
                <w:szCs w:val="18"/>
              </w:rPr>
              <w:t>±5,9</w:t>
            </w:r>
          </w:p>
        </w:tc>
        <w:tc>
          <w:tcPr>
            <w:tcW w:w="597" w:type="pct"/>
          </w:tcPr>
          <w:p w:rsidR="00E659A9" w:rsidRPr="00886F99" w:rsidRDefault="00E659A9" w:rsidP="001731FC">
            <w:pPr>
              <w:jc w:val="center"/>
              <w:rPr>
                <w:sz w:val="18"/>
                <w:szCs w:val="18"/>
              </w:rPr>
            </w:pPr>
            <w:r w:rsidRPr="00886F99">
              <w:rPr>
                <w:sz w:val="18"/>
                <w:szCs w:val="18"/>
              </w:rPr>
              <w:t>13,7</w:t>
            </w:r>
            <w:r w:rsidRPr="00886F99">
              <w:rPr>
                <w:rFonts w:cstheme="minorHAnsi"/>
                <w:sz w:val="18"/>
                <w:szCs w:val="18"/>
              </w:rPr>
              <w:t>±11,1</w:t>
            </w:r>
          </w:p>
        </w:tc>
        <w:tc>
          <w:tcPr>
            <w:tcW w:w="597" w:type="pct"/>
          </w:tcPr>
          <w:p w:rsidR="00E659A9" w:rsidRPr="00886F99" w:rsidRDefault="00E659A9" w:rsidP="001731FC">
            <w:pPr>
              <w:jc w:val="center"/>
              <w:rPr>
                <w:sz w:val="18"/>
                <w:szCs w:val="18"/>
              </w:rPr>
            </w:pPr>
            <w:r w:rsidRPr="00886F99">
              <w:rPr>
                <w:sz w:val="18"/>
                <w:szCs w:val="18"/>
              </w:rPr>
              <w:t>13,0</w:t>
            </w:r>
            <w:r w:rsidRPr="00886F99">
              <w:rPr>
                <w:rFonts w:cstheme="minorHAnsi"/>
                <w:sz w:val="18"/>
                <w:szCs w:val="18"/>
              </w:rPr>
              <w:t>±5,9</w:t>
            </w:r>
          </w:p>
        </w:tc>
        <w:tc>
          <w:tcPr>
            <w:tcW w:w="597" w:type="pct"/>
          </w:tcPr>
          <w:p w:rsidR="00E659A9" w:rsidRPr="00886F99" w:rsidRDefault="00E659A9" w:rsidP="001731FC">
            <w:pPr>
              <w:jc w:val="center"/>
              <w:rPr>
                <w:sz w:val="18"/>
                <w:szCs w:val="18"/>
              </w:rPr>
            </w:pPr>
            <w:r w:rsidRPr="00886F99">
              <w:rPr>
                <w:sz w:val="18"/>
                <w:szCs w:val="18"/>
              </w:rPr>
              <w:t>12,4</w:t>
            </w:r>
            <w:r w:rsidRPr="00886F99">
              <w:rPr>
                <w:rFonts w:cstheme="minorHAnsi"/>
                <w:sz w:val="18"/>
                <w:szCs w:val="18"/>
              </w:rPr>
              <w:t>±4,5</w:t>
            </w:r>
          </w:p>
        </w:tc>
        <w:tc>
          <w:tcPr>
            <w:tcW w:w="597" w:type="pct"/>
          </w:tcPr>
          <w:p w:rsidR="00E659A9" w:rsidRPr="00886F99" w:rsidRDefault="00E659A9" w:rsidP="001731FC">
            <w:pPr>
              <w:jc w:val="center"/>
              <w:rPr>
                <w:sz w:val="18"/>
                <w:szCs w:val="18"/>
              </w:rPr>
            </w:pPr>
            <w:r w:rsidRPr="00886F99">
              <w:rPr>
                <w:sz w:val="18"/>
                <w:szCs w:val="18"/>
              </w:rPr>
              <w:t>11,7</w:t>
            </w:r>
            <w:r w:rsidRPr="00886F99">
              <w:rPr>
                <w:rFonts w:cstheme="minorHAnsi"/>
                <w:sz w:val="18"/>
                <w:szCs w:val="18"/>
              </w:rPr>
              <w:t>±8,6</w:t>
            </w:r>
          </w:p>
        </w:tc>
      </w:tr>
      <w:tr w:rsidR="00E659A9" w:rsidRPr="00886F99" w:rsidTr="009E5AE5">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0,021</w:t>
            </w:r>
          </w:p>
        </w:tc>
        <w:tc>
          <w:tcPr>
            <w:tcW w:w="523"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0,043</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0,270</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0,812</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0,581</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0,431</w:t>
            </w:r>
          </w:p>
        </w:tc>
      </w:tr>
      <w:tr w:rsidR="00E659A9" w:rsidRPr="00886F99" w:rsidTr="009E5AE5">
        <w:tc>
          <w:tcPr>
            <w:tcW w:w="1565" w:type="pct"/>
          </w:tcPr>
          <w:p w:rsidR="00E659A9" w:rsidRPr="00886F99" w:rsidRDefault="00E659A9" w:rsidP="001731FC">
            <w:pPr>
              <w:rPr>
                <w:sz w:val="18"/>
                <w:szCs w:val="18"/>
              </w:rPr>
            </w:pPr>
            <w:r w:rsidRPr="00886F99">
              <w:rPr>
                <w:sz w:val="18"/>
                <w:szCs w:val="18"/>
              </w:rPr>
              <w:t>PRE-BUBBLE %</w:t>
            </w:r>
            <w:r w:rsidRPr="00886F99">
              <w:rPr>
                <w:sz w:val="18"/>
                <w:szCs w:val="18"/>
              </w:rPr>
              <w:sym w:font="Symbol" w:char="F0AF"/>
            </w:r>
            <w:r w:rsidRPr="00886F99">
              <w:rPr>
                <w:sz w:val="18"/>
                <w:szCs w:val="18"/>
              </w:rPr>
              <w:t xml:space="preserve"> dip (faz-2) MCA all</w:t>
            </w:r>
          </w:p>
        </w:tc>
        <w:tc>
          <w:tcPr>
            <w:tcW w:w="522" w:type="pct"/>
          </w:tcPr>
          <w:p w:rsidR="00E659A9" w:rsidRPr="00886F99" w:rsidRDefault="00E659A9" w:rsidP="001731FC">
            <w:pPr>
              <w:jc w:val="center"/>
              <w:rPr>
                <w:sz w:val="18"/>
                <w:szCs w:val="18"/>
              </w:rPr>
            </w:pPr>
            <w:r w:rsidRPr="00886F99">
              <w:rPr>
                <w:sz w:val="18"/>
                <w:szCs w:val="18"/>
              </w:rPr>
              <w:t>8,6</w:t>
            </w:r>
            <w:r w:rsidRPr="00886F99">
              <w:rPr>
                <w:rFonts w:cstheme="minorHAnsi"/>
                <w:sz w:val="18"/>
                <w:szCs w:val="18"/>
              </w:rPr>
              <w:t>±7,9</w:t>
            </w:r>
          </w:p>
        </w:tc>
        <w:tc>
          <w:tcPr>
            <w:tcW w:w="523" w:type="pct"/>
          </w:tcPr>
          <w:p w:rsidR="00E659A9" w:rsidRPr="00886F99" w:rsidRDefault="00E659A9" w:rsidP="001731FC">
            <w:pPr>
              <w:jc w:val="center"/>
              <w:rPr>
                <w:sz w:val="18"/>
                <w:szCs w:val="18"/>
              </w:rPr>
            </w:pPr>
            <w:r w:rsidRPr="00886F99">
              <w:rPr>
                <w:sz w:val="18"/>
                <w:szCs w:val="18"/>
              </w:rPr>
              <w:t>10,2</w:t>
            </w:r>
            <w:r w:rsidRPr="00886F99">
              <w:rPr>
                <w:rFonts w:cstheme="minorHAnsi"/>
                <w:sz w:val="18"/>
                <w:szCs w:val="18"/>
              </w:rPr>
              <w:t>±7,8</w:t>
            </w:r>
          </w:p>
        </w:tc>
        <w:tc>
          <w:tcPr>
            <w:tcW w:w="597" w:type="pct"/>
          </w:tcPr>
          <w:p w:rsidR="00E659A9" w:rsidRPr="00886F99" w:rsidRDefault="00E659A9" w:rsidP="001731FC">
            <w:pPr>
              <w:jc w:val="center"/>
              <w:rPr>
                <w:sz w:val="18"/>
                <w:szCs w:val="18"/>
              </w:rPr>
            </w:pPr>
            <w:r w:rsidRPr="00886F99">
              <w:rPr>
                <w:sz w:val="18"/>
                <w:szCs w:val="18"/>
              </w:rPr>
              <w:t>5,2</w:t>
            </w:r>
            <w:r w:rsidRPr="00886F99">
              <w:rPr>
                <w:rFonts w:cstheme="minorHAnsi"/>
                <w:sz w:val="18"/>
                <w:szCs w:val="18"/>
              </w:rPr>
              <w:t>±7,1</w:t>
            </w:r>
          </w:p>
        </w:tc>
        <w:tc>
          <w:tcPr>
            <w:tcW w:w="597" w:type="pct"/>
          </w:tcPr>
          <w:p w:rsidR="00E659A9" w:rsidRPr="00886F99" w:rsidRDefault="00E659A9" w:rsidP="001731FC">
            <w:pPr>
              <w:jc w:val="center"/>
              <w:rPr>
                <w:sz w:val="18"/>
                <w:szCs w:val="18"/>
              </w:rPr>
            </w:pPr>
            <w:r w:rsidRPr="00886F99">
              <w:rPr>
                <w:sz w:val="18"/>
                <w:szCs w:val="18"/>
              </w:rPr>
              <w:t>11,5</w:t>
            </w:r>
            <w:r w:rsidRPr="00886F99">
              <w:rPr>
                <w:rFonts w:cstheme="minorHAnsi"/>
                <w:sz w:val="18"/>
                <w:szCs w:val="18"/>
              </w:rPr>
              <w:t>±13,2</w:t>
            </w:r>
          </w:p>
        </w:tc>
        <w:tc>
          <w:tcPr>
            <w:tcW w:w="597" w:type="pct"/>
          </w:tcPr>
          <w:p w:rsidR="00E659A9" w:rsidRPr="00886F99" w:rsidRDefault="00E659A9" w:rsidP="001731FC">
            <w:pPr>
              <w:jc w:val="center"/>
              <w:rPr>
                <w:sz w:val="18"/>
                <w:szCs w:val="18"/>
              </w:rPr>
            </w:pPr>
            <w:r w:rsidRPr="00886F99">
              <w:rPr>
                <w:sz w:val="18"/>
                <w:szCs w:val="18"/>
              </w:rPr>
              <w:t>8,1</w:t>
            </w:r>
            <w:r w:rsidRPr="00886F99">
              <w:rPr>
                <w:rFonts w:cstheme="minorHAnsi"/>
                <w:sz w:val="18"/>
                <w:szCs w:val="18"/>
              </w:rPr>
              <w:t>±9,2</w:t>
            </w:r>
          </w:p>
        </w:tc>
        <w:tc>
          <w:tcPr>
            <w:tcW w:w="597" w:type="pct"/>
          </w:tcPr>
          <w:p w:rsidR="00E659A9" w:rsidRPr="00886F99" w:rsidRDefault="00E659A9" w:rsidP="001731FC">
            <w:pPr>
              <w:jc w:val="center"/>
              <w:rPr>
                <w:sz w:val="18"/>
                <w:szCs w:val="18"/>
              </w:rPr>
            </w:pPr>
            <w:r w:rsidRPr="00886F99">
              <w:rPr>
                <w:sz w:val="18"/>
                <w:szCs w:val="18"/>
              </w:rPr>
              <w:t>11,4</w:t>
            </w:r>
            <w:r w:rsidRPr="00886F99">
              <w:rPr>
                <w:rFonts w:cstheme="minorHAnsi"/>
                <w:sz w:val="18"/>
                <w:szCs w:val="18"/>
              </w:rPr>
              <w:t>±7,6</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 %</w:t>
            </w:r>
            <w:r w:rsidRPr="00886F99">
              <w:rPr>
                <w:sz w:val="18"/>
                <w:szCs w:val="18"/>
              </w:rPr>
              <w:sym w:font="Symbol" w:char="F0AF"/>
            </w:r>
            <w:r w:rsidRPr="00886F99">
              <w:rPr>
                <w:sz w:val="18"/>
                <w:szCs w:val="18"/>
              </w:rPr>
              <w:t xml:space="preserve"> dip (faz-2) MCA all</w:t>
            </w:r>
          </w:p>
        </w:tc>
        <w:tc>
          <w:tcPr>
            <w:tcW w:w="522" w:type="pct"/>
          </w:tcPr>
          <w:p w:rsidR="00E659A9" w:rsidRPr="00886F99" w:rsidRDefault="00E659A9" w:rsidP="001731FC">
            <w:pPr>
              <w:jc w:val="center"/>
              <w:rPr>
                <w:sz w:val="18"/>
                <w:szCs w:val="18"/>
              </w:rPr>
            </w:pPr>
            <w:r w:rsidRPr="00886F99">
              <w:rPr>
                <w:sz w:val="18"/>
                <w:szCs w:val="18"/>
              </w:rPr>
              <w:t>8,9</w:t>
            </w:r>
            <w:r w:rsidRPr="00886F99">
              <w:rPr>
                <w:rFonts w:cstheme="minorHAnsi"/>
                <w:sz w:val="18"/>
                <w:szCs w:val="18"/>
              </w:rPr>
              <w:t>±6,3</w:t>
            </w:r>
          </w:p>
        </w:tc>
        <w:tc>
          <w:tcPr>
            <w:tcW w:w="523" w:type="pct"/>
          </w:tcPr>
          <w:p w:rsidR="00E659A9" w:rsidRPr="00886F99" w:rsidRDefault="00E659A9" w:rsidP="001731FC">
            <w:pPr>
              <w:jc w:val="center"/>
              <w:rPr>
                <w:sz w:val="18"/>
                <w:szCs w:val="18"/>
              </w:rPr>
            </w:pPr>
            <w:r w:rsidRPr="00886F99">
              <w:rPr>
                <w:sz w:val="18"/>
                <w:szCs w:val="18"/>
              </w:rPr>
              <w:t>13,3</w:t>
            </w:r>
            <w:r w:rsidRPr="00886F99">
              <w:rPr>
                <w:rFonts w:cstheme="minorHAnsi"/>
                <w:sz w:val="18"/>
                <w:szCs w:val="18"/>
              </w:rPr>
              <w:t>±7,8</w:t>
            </w:r>
          </w:p>
        </w:tc>
        <w:tc>
          <w:tcPr>
            <w:tcW w:w="597" w:type="pct"/>
          </w:tcPr>
          <w:p w:rsidR="00E659A9" w:rsidRPr="00886F99" w:rsidRDefault="00E659A9" w:rsidP="001731FC">
            <w:pPr>
              <w:jc w:val="center"/>
              <w:rPr>
                <w:sz w:val="18"/>
                <w:szCs w:val="18"/>
              </w:rPr>
            </w:pPr>
            <w:r w:rsidRPr="00886F99">
              <w:rPr>
                <w:sz w:val="18"/>
                <w:szCs w:val="18"/>
              </w:rPr>
              <w:t>10,3</w:t>
            </w:r>
            <w:r w:rsidRPr="00886F99">
              <w:rPr>
                <w:rFonts w:cstheme="minorHAnsi"/>
                <w:sz w:val="18"/>
                <w:szCs w:val="18"/>
              </w:rPr>
              <w:t>±11,5</w:t>
            </w:r>
          </w:p>
        </w:tc>
        <w:tc>
          <w:tcPr>
            <w:tcW w:w="597" w:type="pct"/>
          </w:tcPr>
          <w:p w:rsidR="00E659A9" w:rsidRPr="00886F99" w:rsidRDefault="00E659A9" w:rsidP="001731FC">
            <w:pPr>
              <w:jc w:val="center"/>
              <w:rPr>
                <w:sz w:val="18"/>
                <w:szCs w:val="18"/>
              </w:rPr>
            </w:pPr>
            <w:r w:rsidRPr="00886F99">
              <w:rPr>
                <w:sz w:val="18"/>
                <w:szCs w:val="18"/>
              </w:rPr>
              <w:t>8,8±</w:t>
            </w:r>
            <w:r w:rsidRPr="00886F99">
              <w:rPr>
                <w:rFonts w:cstheme="minorHAnsi"/>
                <w:sz w:val="18"/>
                <w:szCs w:val="18"/>
              </w:rPr>
              <w:t>10,4</w:t>
            </w:r>
          </w:p>
        </w:tc>
        <w:tc>
          <w:tcPr>
            <w:tcW w:w="597" w:type="pct"/>
          </w:tcPr>
          <w:p w:rsidR="00E659A9" w:rsidRPr="00886F99" w:rsidRDefault="00E659A9" w:rsidP="001731FC">
            <w:pPr>
              <w:jc w:val="center"/>
              <w:rPr>
                <w:sz w:val="18"/>
                <w:szCs w:val="18"/>
              </w:rPr>
            </w:pPr>
            <w:r w:rsidRPr="00886F99">
              <w:rPr>
                <w:sz w:val="18"/>
                <w:szCs w:val="18"/>
              </w:rPr>
              <w:t>4,1</w:t>
            </w:r>
            <w:r w:rsidRPr="00886F99">
              <w:rPr>
                <w:rFonts w:cstheme="minorHAnsi"/>
                <w:sz w:val="18"/>
                <w:szCs w:val="18"/>
              </w:rPr>
              <w:t>±8,8</w:t>
            </w:r>
          </w:p>
        </w:tc>
        <w:tc>
          <w:tcPr>
            <w:tcW w:w="597" w:type="pct"/>
          </w:tcPr>
          <w:p w:rsidR="00E659A9" w:rsidRPr="00886F99" w:rsidRDefault="00E659A9" w:rsidP="001731FC">
            <w:pPr>
              <w:jc w:val="center"/>
              <w:rPr>
                <w:sz w:val="18"/>
                <w:szCs w:val="18"/>
              </w:rPr>
            </w:pPr>
            <w:r w:rsidRPr="00886F99">
              <w:rPr>
                <w:sz w:val="18"/>
                <w:szCs w:val="18"/>
              </w:rPr>
              <w:t>11,5</w:t>
            </w:r>
            <w:r w:rsidRPr="00886F99">
              <w:rPr>
                <w:rFonts w:cstheme="minorHAnsi"/>
                <w:sz w:val="18"/>
                <w:szCs w:val="18"/>
              </w:rPr>
              <w:t>±7,5</w:t>
            </w:r>
          </w:p>
        </w:tc>
      </w:tr>
      <w:tr w:rsidR="00E659A9" w:rsidRPr="00886F99" w:rsidTr="009E5AE5">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0,911</w:t>
            </w:r>
          </w:p>
        </w:tc>
        <w:tc>
          <w:tcPr>
            <w:tcW w:w="523"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0,410</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0,173</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0,188</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0,185</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0,968</w:t>
            </w:r>
          </w:p>
        </w:tc>
      </w:tr>
      <w:tr w:rsidR="00E659A9" w:rsidRPr="00886F99" w:rsidTr="009E5AE5">
        <w:trPr>
          <w:trHeight w:val="232"/>
        </w:trPr>
        <w:tc>
          <w:tcPr>
            <w:tcW w:w="1565" w:type="pct"/>
          </w:tcPr>
          <w:p w:rsidR="00E659A9" w:rsidRPr="00886F99" w:rsidRDefault="00E659A9" w:rsidP="001731FC">
            <w:pPr>
              <w:rPr>
                <w:sz w:val="18"/>
                <w:szCs w:val="18"/>
              </w:rPr>
            </w:pPr>
            <w:r w:rsidRPr="00886F99">
              <w:rPr>
                <w:sz w:val="18"/>
                <w:szCs w:val="18"/>
              </w:rPr>
              <w:t>PRE-BUBBLE %</w:t>
            </w:r>
            <w:r w:rsidRPr="00886F99">
              <w:rPr>
                <w:sz w:val="18"/>
                <w:szCs w:val="18"/>
              </w:rPr>
              <w:sym w:font="Symbol" w:char="F0AF"/>
            </w:r>
            <w:r w:rsidRPr="00886F99">
              <w:rPr>
                <w:sz w:val="18"/>
                <w:szCs w:val="18"/>
              </w:rPr>
              <w:t xml:space="preserve"> dip (faz-2) MCA ipsil.</w:t>
            </w:r>
          </w:p>
        </w:tc>
        <w:tc>
          <w:tcPr>
            <w:tcW w:w="522" w:type="pct"/>
          </w:tcPr>
          <w:p w:rsidR="00E659A9" w:rsidRPr="00886F99" w:rsidRDefault="00E659A9" w:rsidP="001731FC">
            <w:pPr>
              <w:jc w:val="center"/>
              <w:rPr>
                <w:sz w:val="18"/>
                <w:szCs w:val="18"/>
              </w:rPr>
            </w:pPr>
            <w:r w:rsidRPr="00886F99">
              <w:rPr>
                <w:sz w:val="18"/>
                <w:szCs w:val="18"/>
              </w:rPr>
              <w:t>10,8</w:t>
            </w:r>
            <w:r w:rsidRPr="00886F99">
              <w:rPr>
                <w:rFonts w:cstheme="minorHAnsi"/>
                <w:sz w:val="18"/>
                <w:szCs w:val="18"/>
              </w:rPr>
              <w:t>±8,8</w:t>
            </w:r>
          </w:p>
        </w:tc>
        <w:tc>
          <w:tcPr>
            <w:tcW w:w="523" w:type="pct"/>
          </w:tcPr>
          <w:p w:rsidR="00E659A9" w:rsidRPr="00886F99" w:rsidRDefault="00E659A9" w:rsidP="001731FC">
            <w:pPr>
              <w:jc w:val="center"/>
              <w:rPr>
                <w:sz w:val="18"/>
                <w:szCs w:val="18"/>
              </w:rPr>
            </w:pPr>
            <w:r w:rsidRPr="00886F99">
              <w:rPr>
                <w:sz w:val="18"/>
                <w:szCs w:val="18"/>
              </w:rPr>
              <w:t>11,7</w:t>
            </w:r>
            <w:r w:rsidRPr="00886F99">
              <w:rPr>
                <w:rFonts w:cstheme="minorHAnsi"/>
                <w:sz w:val="18"/>
                <w:szCs w:val="18"/>
              </w:rPr>
              <w:t>±8,4</w:t>
            </w:r>
          </w:p>
        </w:tc>
        <w:tc>
          <w:tcPr>
            <w:tcW w:w="597" w:type="pct"/>
          </w:tcPr>
          <w:p w:rsidR="00E659A9" w:rsidRPr="00886F99" w:rsidRDefault="00E659A9" w:rsidP="001731FC">
            <w:pPr>
              <w:jc w:val="center"/>
              <w:rPr>
                <w:sz w:val="18"/>
                <w:szCs w:val="18"/>
              </w:rPr>
            </w:pPr>
            <w:r w:rsidRPr="00886F99">
              <w:rPr>
                <w:sz w:val="18"/>
                <w:szCs w:val="18"/>
              </w:rPr>
              <w:t>4,1</w:t>
            </w:r>
            <w:r w:rsidRPr="00886F99">
              <w:rPr>
                <w:rFonts w:cstheme="minorHAnsi"/>
                <w:sz w:val="18"/>
                <w:szCs w:val="18"/>
              </w:rPr>
              <w:t>±8,0</w:t>
            </w:r>
          </w:p>
        </w:tc>
        <w:tc>
          <w:tcPr>
            <w:tcW w:w="597" w:type="pct"/>
          </w:tcPr>
          <w:p w:rsidR="00E659A9" w:rsidRPr="00886F99" w:rsidRDefault="00E659A9" w:rsidP="001731FC">
            <w:pPr>
              <w:jc w:val="center"/>
              <w:rPr>
                <w:sz w:val="18"/>
                <w:szCs w:val="18"/>
              </w:rPr>
            </w:pPr>
            <w:r w:rsidRPr="00886F99">
              <w:rPr>
                <w:sz w:val="18"/>
                <w:szCs w:val="18"/>
              </w:rPr>
              <w:t>9,6</w:t>
            </w:r>
            <w:r w:rsidRPr="00886F99">
              <w:rPr>
                <w:rFonts w:cstheme="minorHAnsi"/>
                <w:sz w:val="18"/>
                <w:szCs w:val="18"/>
              </w:rPr>
              <w:t>±14,3</w:t>
            </w:r>
          </w:p>
        </w:tc>
        <w:tc>
          <w:tcPr>
            <w:tcW w:w="597" w:type="pct"/>
          </w:tcPr>
          <w:p w:rsidR="00E659A9" w:rsidRPr="00886F99" w:rsidRDefault="00E659A9" w:rsidP="001731FC">
            <w:pPr>
              <w:jc w:val="center"/>
              <w:rPr>
                <w:sz w:val="18"/>
                <w:szCs w:val="18"/>
              </w:rPr>
            </w:pPr>
            <w:r w:rsidRPr="00886F99">
              <w:rPr>
                <w:sz w:val="18"/>
                <w:szCs w:val="18"/>
              </w:rPr>
              <w:t>10,1</w:t>
            </w:r>
            <w:r w:rsidRPr="00886F99">
              <w:rPr>
                <w:rFonts w:cstheme="minorHAnsi"/>
                <w:sz w:val="18"/>
                <w:szCs w:val="18"/>
              </w:rPr>
              <w:t>±10,4</w:t>
            </w:r>
          </w:p>
        </w:tc>
        <w:tc>
          <w:tcPr>
            <w:tcW w:w="597" w:type="pct"/>
          </w:tcPr>
          <w:p w:rsidR="00E659A9" w:rsidRPr="00886F99" w:rsidRDefault="00E659A9" w:rsidP="001731FC">
            <w:pPr>
              <w:jc w:val="center"/>
              <w:rPr>
                <w:sz w:val="18"/>
                <w:szCs w:val="18"/>
              </w:rPr>
            </w:pPr>
            <w:r w:rsidRPr="00886F99">
              <w:rPr>
                <w:sz w:val="18"/>
                <w:szCs w:val="18"/>
              </w:rPr>
              <w:t>11,3</w:t>
            </w:r>
            <w:r w:rsidRPr="00886F99">
              <w:rPr>
                <w:rFonts w:cstheme="minorHAnsi"/>
                <w:sz w:val="18"/>
                <w:szCs w:val="18"/>
              </w:rPr>
              <w:t>±7,8</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 %</w:t>
            </w:r>
            <w:r w:rsidRPr="00886F99">
              <w:rPr>
                <w:sz w:val="18"/>
                <w:szCs w:val="18"/>
              </w:rPr>
              <w:sym w:font="Symbol" w:char="F0AF"/>
            </w:r>
            <w:r w:rsidRPr="00886F99">
              <w:rPr>
                <w:sz w:val="18"/>
                <w:szCs w:val="18"/>
              </w:rPr>
              <w:t xml:space="preserve"> dip (faz-2) MCA ips.</w:t>
            </w:r>
          </w:p>
        </w:tc>
        <w:tc>
          <w:tcPr>
            <w:tcW w:w="522" w:type="pct"/>
          </w:tcPr>
          <w:p w:rsidR="00E659A9" w:rsidRPr="00886F99" w:rsidRDefault="00E659A9" w:rsidP="001731FC">
            <w:pPr>
              <w:jc w:val="center"/>
              <w:rPr>
                <w:sz w:val="18"/>
                <w:szCs w:val="18"/>
              </w:rPr>
            </w:pPr>
            <w:r w:rsidRPr="00886F99">
              <w:rPr>
                <w:sz w:val="18"/>
                <w:szCs w:val="18"/>
              </w:rPr>
              <w:t>7,7</w:t>
            </w:r>
            <w:r w:rsidRPr="00886F99">
              <w:rPr>
                <w:rFonts w:cstheme="minorHAnsi"/>
                <w:sz w:val="18"/>
                <w:szCs w:val="18"/>
              </w:rPr>
              <w:t>±5,3</w:t>
            </w:r>
          </w:p>
        </w:tc>
        <w:tc>
          <w:tcPr>
            <w:tcW w:w="523" w:type="pct"/>
          </w:tcPr>
          <w:p w:rsidR="00E659A9" w:rsidRPr="00886F99" w:rsidRDefault="00E659A9" w:rsidP="001731FC">
            <w:pPr>
              <w:jc w:val="center"/>
              <w:rPr>
                <w:sz w:val="18"/>
                <w:szCs w:val="18"/>
              </w:rPr>
            </w:pPr>
            <w:r w:rsidRPr="00886F99">
              <w:rPr>
                <w:sz w:val="18"/>
                <w:szCs w:val="18"/>
              </w:rPr>
              <w:t>12,6</w:t>
            </w:r>
            <w:r w:rsidRPr="00886F99">
              <w:rPr>
                <w:rFonts w:cstheme="minorHAnsi"/>
                <w:sz w:val="18"/>
                <w:szCs w:val="18"/>
              </w:rPr>
              <w:t>±8,5</w:t>
            </w:r>
          </w:p>
        </w:tc>
        <w:tc>
          <w:tcPr>
            <w:tcW w:w="597" w:type="pct"/>
          </w:tcPr>
          <w:p w:rsidR="00E659A9" w:rsidRPr="00886F99" w:rsidRDefault="00E659A9" w:rsidP="001731FC">
            <w:pPr>
              <w:jc w:val="center"/>
              <w:rPr>
                <w:sz w:val="18"/>
                <w:szCs w:val="18"/>
              </w:rPr>
            </w:pPr>
            <w:r w:rsidRPr="00886F99">
              <w:rPr>
                <w:sz w:val="18"/>
                <w:szCs w:val="18"/>
              </w:rPr>
              <w:t>8,2</w:t>
            </w:r>
            <w:r w:rsidRPr="00886F99">
              <w:rPr>
                <w:rFonts w:cstheme="minorHAnsi"/>
                <w:sz w:val="18"/>
                <w:szCs w:val="18"/>
              </w:rPr>
              <w:t>±6,6</w:t>
            </w:r>
          </w:p>
        </w:tc>
        <w:tc>
          <w:tcPr>
            <w:tcW w:w="597" w:type="pct"/>
          </w:tcPr>
          <w:p w:rsidR="00E659A9" w:rsidRPr="00886F99" w:rsidRDefault="00E659A9" w:rsidP="001731FC">
            <w:pPr>
              <w:jc w:val="center"/>
              <w:rPr>
                <w:sz w:val="18"/>
                <w:szCs w:val="18"/>
              </w:rPr>
            </w:pPr>
            <w:r w:rsidRPr="00886F99">
              <w:rPr>
                <w:sz w:val="18"/>
                <w:szCs w:val="18"/>
              </w:rPr>
              <w:t>8,9</w:t>
            </w:r>
            <w:r w:rsidRPr="00886F99">
              <w:rPr>
                <w:rFonts w:cstheme="minorHAnsi"/>
                <w:sz w:val="18"/>
                <w:szCs w:val="18"/>
              </w:rPr>
              <w:t>±8,8</w:t>
            </w:r>
          </w:p>
        </w:tc>
        <w:tc>
          <w:tcPr>
            <w:tcW w:w="597" w:type="pct"/>
          </w:tcPr>
          <w:p w:rsidR="00E659A9" w:rsidRPr="00886F99" w:rsidRDefault="00E659A9" w:rsidP="001731FC">
            <w:pPr>
              <w:jc w:val="center"/>
              <w:rPr>
                <w:sz w:val="18"/>
                <w:szCs w:val="18"/>
              </w:rPr>
            </w:pPr>
            <w:r w:rsidRPr="00886F99">
              <w:rPr>
                <w:sz w:val="18"/>
                <w:szCs w:val="18"/>
              </w:rPr>
              <w:t>4,5</w:t>
            </w:r>
            <w:r w:rsidRPr="00886F99">
              <w:rPr>
                <w:rFonts w:cstheme="minorHAnsi"/>
                <w:sz w:val="18"/>
                <w:szCs w:val="18"/>
              </w:rPr>
              <w:t>±9,7</w:t>
            </w:r>
          </w:p>
        </w:tc>
        <w:tc>
          <w:tcPr>
            <w:tcW w:w="597" w:type="pct"/>
          </w:tcPr>
          <w:p w:rsidR="00E659A9" w:rsidRPr="00886F99" w:rsidRDefault="00E659A9" w:rsidP="001731FC">
            <w:pPr>
              <w:jc w:val="center"/>
              <w:rPr>
                <w:sz w:val="18"/>
                <w:szCs w:val="18"/>
              </w:rPr>
            </w:pPr>
            <w:r w:rsidRPr="00886F99">
              <w:rPr>
                <w:sz w:val="18"/>
                <w:szCs w:val="18"/>
              </w:rPr>
              <w:t>12,4</w:t>
            </w:r>
            <w:r w:rsidRPr="00886F99">
              <w:rPr>
                <w:rFonts w:cstheme="minorHAnsi"/>
                <w:sz w:val="18"/>
                <w:szCs w:val="18"/>
              </w:rPr>
              <w:t>±8,3</w:t>
            </w:r>
          </w:p>
        </w:tc>
      </w:tr>
      <w:tr w:rsidR="00E659A9" w:rsidRPr="00886F99" w:rsidTr="009E5AE5">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0,275</w:t>
            </w:r>
          </w:p>
        </w:tc>
        <w:tc>
          <w:tcPr>
            <w:tcW w:w="523"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0,838</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0,211</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0,826</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0,160</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0,706</w:t>
            </w:r>
          </w:p>
        </w:tc>
      </w:tr>
      <w:tr w:rsidR="00E659A9" w:rsidRPr="00886F99" w:rsidTr="009E5AE5">
        <w:tc>
          <w:tcPr>
            <w:tcW w:w="1565" w:type="pct"/>
          </w:tcPr>
          <w:p w:rsidR="00E659A9" w:rsidRPr="00886F99" w:rsidRDefault="00E659A9" w:rsidP="001731FC">
            <w:pPr>
              <w:rPr>
                <w:sz w:val="18"/>
                <w:szCs w:val="18"/>
              </w:rPr>
            </w:pPr>
            <w:r w:rsidRPr="00886F99">
              <w:rPr>
                <w:sz w:val="18"/>
                <w:szCs w:val="18"/>
              </w:rPr>
              <w:t>PRE-BUBBLE %</w:t>
            </w:r>
            <w:r w:rsidRPr="00886F99">
              <w:rPr>
                <w:sz w:val="18"/>
                <w:szCs w:val="18"/>
              </w:rPr>
              <w:sym w:font="Symbol" w:char="F0AF"/>
            </w:r>
            <w:r w:rsidRPr="00886F99">
              <w:rPr>
                <w:sz w:val="18"/>
                <w:szCs w:val="18"/>
              </w:rPr>
              <w:t xml:space="preserve"> dip (faz-2) MCA con.</w:t>
            </w:r>
          </w:p>
        </w:tc>
        <w:tc>
          <w:tcPr>
            <w:tcW w:w="522" w:type="pct"/>
          </w:tcPr>
          <w:p w:rsidR="00E659A9" w:rsidRPr="00886F99" w:rsidRDefault="00E659A9" w:rsidP="001731FC">
            <w:pPr>
              <w:jc w:val="center"/>
              <w:rPr>
                <w:sz w:val="18"/>
                <w:szCs w:val="18"/>
              </w:rPr>
            </w:pPr>
            <w:r w:rsidRPr="00886F99">
              <w:rPr>
                <w:sz w:val="18"/>
                <w:szCs w:val="18"/>
              </w:rPr>
              <w:t>6,4</w:t>
            </w:r>
            <w:r w:rsidRPr="00886F99">
              <w:rPr>
                <w:rFonts w:cstheme="minorHAnsi"/>
                <w:sz w:val="18"/>
                <w:szCs w:val="18"/>
              </w:rPr>
              <w:t>±8,3</w:t>
            </w:r>
          </w:p>
        </w:tc>
        <w:tc>
          <w:tcPr>
            <w:tcW w:w="523" w:type="pct"/>
          </w:tcPr>
          <w:p w:rsidR="00E659A9" w:rsidRPr="00886F99" w:rsidRDefault="00E659A9" w:rsidP="001731FC">
            <w:pPr>
              <w:jc w:val="center"/>
              <w:rPr>
                <w:sz w:val="18"/>
                <w:szCs w:val="18"/>
              </w:rPr>
            </w:pPr>
            <w:r w:rsidRPr="00886F99">
              <w:rPr>
                <w:sz w:val="18"/>
                <w:szCs w:val="18"/>
              </w:rPr>
              <w:t>8,6</w:t>
            </w:r>
            <w:r w:rsidRPr="00886F99">
              <w:rPr>
                <w:rFonts w:cstheme="minorHAnsi"/>
                <w:sz w:val="18"/>
                <w:szCs w:val="18"/>
              </w:rPr>
              <w:t>±11,4</w:t>
            </w:r>
          </w:p>
        </w:tc>
        <w:tc>
          <w:tcPr>
            <w:tcW w:w="597" w:type="pct"/>
          </w:tcPr>
          <w:p w:rsidR="00E659A9" w:rsidRPr="00886F99" w:rsidRDefault="00E659A9" w:rsidP="001731FC">
            <w:pPr>
              <w:jc w:val="center"/>
              <w:rPr>
                <w:sz w:val="18"/>
                <w:szCs w:val="18"/>
              </w:rPr>
            </w:pPr>
            <w:r w:rsidRPr="00886F99">
              <w:rPr>
                <w:sz w:val="18"/>
                <w:szCs w:val="18"/>
              </w:rPr>
              <w:t>3,8</w:t>
            </w:r>
            <w:r w:rsidRPr="00886F99">
              <w:rPr>
                <w:rFonts w:cstheme="minorHAnsi"/>
                <w:sz w:val="18"/>
                <w:szCs w:val="18"/>
              </w:rPr>
              <w:t>±6,6</w:t>
            </w:r>
          </w:p>
        </w:tc>
        <w:tc>
          <w:tcPr>
            <w:tcW w:w="597" w:type="pct"/>
          </w:tcPr>
          <w:p w:rsidR="00E659A9" w:rsidRPr="00461F9A" w:rsidRDefault="00E659A9" w:rsidP="001731FC">
            <w:pPr>
              <w:jc w:val="center"/>
              <w:rPr>
                <w:sz w:val="18"/>
                <w:szCs w:val="18"/>
              </w:rPr>
            </w:pPr>
            <w:r w:rsidRPr="00461F9A">
              <w:rPr>
                <w:sz w:val="18"/>
                <w:szCs w:val="18"/>
              </w:rPr>
              <w:t>13,4</w:t>
            </w:r>
            <w:r w:rsidRPr="00461F9A">
              <w:rPr>
                <w:rFonts w:cstheme="minorHAnsi"/>
                <w:sz w:val="18"/>
                <w:szCs w:val="18"/>
              </w:rPr>
              <w:t>±12,8</w:t>
            </w:r>
          </w:p>
        </w:tc>
        <w:tc>
          <w:tcPr>
            <w:tcW w:w="597" w:type="pct"/>
          </w:tcPr>
          <w:p w:rsidR="00E659A9" w:rsidRPr="00886F99" w:rsidRDefault="00E659A9" w:rsidP="001731FC">
            <w:pPr>
              <w:jc w:val="center"/>
              <w:rPr>
                <w:sz w:val="18"/>
                <w:szCs w:val="18"/>
              </w:rPr>
            </w:pPr>
            <w:r w:rsidRPr="00886F99">
              <w:rPr>
                <w:sz w:val="18"/>
                <w:szCs w:val="18"/>
              </w:rPr>
              <w:t>6,5</w:t>
            </w:r>
            <w:r w:rsidRPr="00886F99">
              <w:rPr>
                <w:rFonts w:cstheme="minorHAnsi"/>
                <w:sz w:val="18"/>
                <w:szCs w:val="18"/>
              </w:rPr>
              <w:t>±9,4</w:t>
            </w:r>
          </w:p>
        </w:tc>
        <w:tc>
          <w:tcPr>
            <w:tcW w:w="597" w:type="pct"/>
          </w:tcPr>
          <w:p w:rsidR="00E659A9" w:rsidRPr="00886F99" w:rsidRDefault="00E659A9" w:rsidP="001731FC">
            <w:pPr>
              <w:jc w:val="center"/>
              <w:rPr>
                <w:sz w:val="18"/>
                <w:szCs w:val="18"/>
              </w:rPr>
            </w:pPr>
            <w:r w:rsidRPr="00886F99">
              <w:rPr>
                <w:sz w:val="18"/>
                <w:szCs w:val="18"/>
              </w:rPr>
              <w:t>11,5</w:t>
            </w:r>
            <w:r w:rsidRPr="00886F99">
              <w:rPr>
                <w:rFonts w:cstheme="minorHAnsi"/>
                <w:sz w:val="18"/>
                <w:szCs w:val="18"/>
              </w:rPr>
              <w:t>±8,5</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 %</w:t>
            </w:r>
            <w:r w:rsidRPr="00886F99">
              <w:rPr>
                <w:sz w:val="18"/>
                <w:szCs w:val="18"/>
              </w:rPr>
              <w:sym w:font="Symbol" w:char="F0AF"/>
            </w:r>
            <w:r w:rsidRPr="00886F99">
              <w:rPr>
                <w:sz w:val="18"/>
                <w:szCs w:val="18"/>
              </w:rPr>
              <w:t xml:space="preserve"> dip(faz-2)MCA con.</w:t>
            </w:r>
          </w:p>
        </w:tc>
        <w:tc>
          <w:tcPr>
            <w:tcW w:w="522" w:type="pct"/>
          </w:tcPr>
          <w:p w:rsidR="00E659A9" w:rsidRPr="00886F99" w:rsidRDefault="00E659A9" w:rsidP="001731FC">
            <w:pPr>
              <w:jc w:val="center"/>
              <w:rPr>
                <w:sz w:val="18"/>
                <w:szCs w:val="18"/>
              </w:rPr>
            </w:pPr>
            <w:r w:rsidRPr="00886F99">
              <w:rPr>
                <w:sz w:val="18"/>
                <w:szCs w:val="18"/>
              </w:rPr>
              <w:t>10,2</w:t>
            </w:r>
            <w:r w:rsidRPr="00886F99">
              <w:rPr>
                <w:rFonts w:cstheme="minorHAnsi"/>
                <w:sz w:val="18"/>
                <w:szCs w:val="18"/>
              </w:rPr>
              <w:t>±8,0</w:t>
            </w:r>
          </w:p>
        </w:tc>
        <w:tc>
          <w:tcPr>
            <w:tcW w:w="523" w:type="pct"/>
          </w:tcPr>
          <w:p w:rsidR="00E659A9" w:rsidRPr="00886F99" w:rsidRDefault="00E659A9" w:rsidP="001731FC">
            <w:pPr>
              <w:jc w:val="center"/>
              <w:rPr>
                <w:sz w:val="18"/>
                <w:szCs w:val="18"/>
              </w:rPr>
            </w:pPr>
            <w:r w:rsidRPr="00886F99">
              <w:rPr>
                <w:sz w:val="18"/>
                <w:szCs w:val="18"/>
              </w:rPr>
              <w:t>14,1</w:t>
            </w:r>
            <w:r w:rsidRPr="00886F99">
              <w:rPr>
                <w:rFonts w:cstheme="minorHAnsi"/>
                <w:sz w:val="18"/>
                <w:szCs w:val="18"/>
              </w:rPr>
              <w:t>±8,7</w:t>
            </w:r>
          </w:p>
        </w:tc>
        <w:tc>
          <w:tcPr>
            <w:tcW w:w="597" w:type="pct"/>
          </w:tcPr>
          <w:p w:rsidR="00E659A9" w:rsidRPr="00886F99" w:rsidRDefault="00E659A9" w:rsidP="001731FC">
            <w:pPr>
              <w:jc w:val="center"/>
              <w:rPr>
                <w:sz w:val="18"/>
                <w:szCs w:val="18"/>
              </w:rPr>
            </w:pPr>
            <w:r w:rsidRPr="00886F99">
              <w:rPr>
                <w:sz w:val="18"/>
                <w:szCs w:val="18"/>
              </w:rPr>
              <w:t>6,4</w:t>
            </w:r>
            <w:r w:rsidRPr="00886F99">
              <w:rPr>
                <w:rFonts w:cstheme="minorHAnsi"/>
                <w:sz w:val="18"/>
                <w:szCs w:val="18"/>
              </w:rPr>
              <w:t>±7,9</w:t>
            </w:r>
          </w:p>
        </w:tc>
        <w:tc>
          <w:tcPr>
            <w:tcW w:w="597" w:type="pct"/>
          </w:tcPr>
          <w:p w:rsidR="00E659A9" w:rsidRPr="00461F9A" w:rsidRDefault="00E659A9" w:rsidP="001731FC">
            <w:pPr>
              <w:jc w:val="center"/>
              <w:rPr>
                <w:sz w:val="18"/>
                <w:szCs w:val="18"/>
              </w:rPr>
            </w:pPr>
            <w:r w:rsidRPr="00461F9A">
              <w:rPr>
                <w:sz w:val="18"/>
                <w:szCs w:val="18"/>
              </w:rPr>
              <w:t>8,8</w:t>
            </w:r>
            <w:r w:rsidRPr="00461F9A">
              <w:rPr>
                <w:rFonts w:cstheme="minorHAnsi"/>
                <w:sz w:val="18"/>
                <w:szCs w:val="18"/>
              </w:rPr>
              <w:t>±13,2</w:t>
            </w:r>
          </w:p>
        </w:tc>
        <w:tc>
          <w:tcPr>
            <w:tcW w:w="597" w:type="pct"/>
          </w:tcPr>
          <w:p w:rsidR="00E659A9" w:rsidRPr="00886F99" w:rsidRDefault="00E659A9" w:rsidP="001731FC">
            <w:pPr>
              <w:jc w:val="center"/>
              <w:rPr>
                <w:sz w:val="18"/>
                <w:szCs w:val="18"/>
              </w:rPr>
            </w:pPr>
            <w:r w:rsidRPr="00886F99">
              <w:rPr>
                <w:sz w:val="18"/>
                <w:szCs w:val="18"/>
              </w:rPr>
              <w:t>3,0</w:t>
            </w:r>
            <w:r w:rsidRPr="00886F99">
              <w:rPr>
                <w:rFonts w:cstheme="minorHAnsi"/>
                <w:sz w:val="18"/>
                <w:szCs w:val="18"/>
              </w:rPr>
              <w:t>±9,5</w:t>
            </w:r>
          </w:p>
        </w:tc>
        <w:tc>
          <w:tcPr>
            <w:tcW w:w="597" w:type="pct"/>
          </w:tcPr>
          <w:p w:rsidR="00E659A9" w:rsidRPr="00886F99" w:rsidRDefault="00E659A9" w:rsidP="001731FC">
            <w:pPr>
              <w:jc w:val="center"/>
              <w:rPr>
                <w:sz w:val="18"/>
                <w:szCs w:val="18"/>
              </w:rPr>
            </w:pPr>
            <w:r w:rsidRPr="00886F99">
              <w:rPr>
                <w:sz w:val="18"/>
                <w:szCs w:val="18"/>
              </w:rPr>
              <w:t>10,5</w:t>
            </w:r>
            <w:r w:rsidRPr="00886F99">
              <w:rPr>
                <w:rFonts w:cstheme="minorHAnsi"/>
                <w:sz w:val="18"/>
                <w:szCs w:val="18"/>
              </w:rPr>
              <w:t>±7,5</w:t>
            </w:r>
          </w:p>
        </w:tc>
      </w:tr>
      <w:tr w:rsidR="00E659A9" w:rsidRPr="00886F99" w:rsidTr="009E5AE5">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0,289</w:t>
            </w:r>
          </w:p>
        </w:tc>
        <w:tc>
          <w:tcPr>
            <w:tcW w:w="523"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0,217</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0,434</w:t>
            </w:r>
          </w:p>
        </w:tc>
        <w:tc>
          <w:tcPr>
            <w:tcW w:w="597" w:type="pct"/>
            <w:shd w:val="clear" w:color="auto" w:fill="F2F2F2" w:themeFill="background1" w:themeFillShade="F2"/>
          </w:tcPr>
          <w:p w:rsidR="00E659A9" w:rsidRPr="00461F9A" w:rsidRDefault="00E659A9" w:rsidP="001731FC">
            <w:pPr>
              <w:jc w:val="center"/>
              <w:rPr>
                <w:sz w:val="18"/>
                <w:szCs w:val="18"/>
              </w:rPr>
            </w:pPr>
            <w:r w:rsidRPr="00461F9A">
              <w:rPr>
                <w:sz w:val="18"/>
                <w:szCs w:val="18"/>
              </w:rPr>
              <w:t>0,017</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0,208</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0,768</w:t>
            </w:r>
          </w:p>
        </w:tc>
      </w:tr>
      <w:tr w:rsidR="00E659A9" w:rsidRPr="00886F99" w:rsidTr="009E5AE5">
        <w:tc>
          <w:tcPr>
            <w:tcW w:w="1565" w:type="pct"/>
          </w:tcPr>
          <w:p w:rsidR="00E659A9" w:rsidRPr="00886F99" w:rsidRDefault="00E659A9" w:rsidP="001731FC">
            <w:pPr>
              <w:rPr>
                <w:sz w:val="18"/>
                <w:szCs w:val="18"/>
              </w:rPr>
            </w:pPr>
            <w:r w:rsidRPr="00886F99">
              <w:rPr>
                <w:sz w:val="18"/>
                <w:szCs w:val="18"/>
              </w:rPr>
              <w:t>PRE-BUBBLE-PCA-dip time</w:t>
            </w:r>
          </w:p>
        </w:tc>
        <w:tc>
          <w:tcPr>
            <w:tcW w:w="522" w:type="pct"/>
          </w:tcPr>
          <w:p w:rsidR="00E659A9" w:rsidRPr="00886F99" w:rsidRDefault="00E659A9" w:rsidP="001731FC">
            <w:pPr>
              <w:jc w:val="center"/>
              <w:rPr>
                <w:sz w:val="18"/>
                <w:szCs w:val="18"/>
              </w:rPr>
            </w:pPr>
            <w:r w:rsidRPr="00886F99">
              <w:rPr>
                <w:sz w:val="18"/>
                <w:szCs w:val="18"/>
              </w:rPr>
              <w:t>9,1</w:t>
            </w:r>
            <w:r w:rsidRPr="00886F99">
              <w:rPr>
                <w:rFonts w:cstheme="minorHAnsi"/>
                <w:sz w:val="18"/>
                <w:szCs w:val="18"/>
              </w:rPr>
              <w:t>±4,2</w:t>
            </w:r>
          </w:p>
        </w:tc>
        <w:tc>
          <w:tcPr>
            <w:tcW w:w="523" w:type="pct"/>
          </w:tcPr>
          <w:p w:rsidR="00E659A9" w:rsidRPr="00886F99" w:rsidRDefault="00E659A9" w:rsidP="001731FC">
            <w:pPr>
              <w:jc w:val="center"/>
              <w:rPr>
                <w:sz w:val="18"/>
                <w:szCs w:val="18"/>
              </w:rPr>
            </w:pPr>
            <w:r w:rsidRPr="00886F99">
              <w:rPr>
                <w:sz w:val="18"/>
                <w:szCs w:val="18"/>
              </w:rPr>
              <w:t>9,8</w:t>
            </w:r>
            <w:r w:rsidRPr="00886F99">
              <w:rPr>
                <w:rFonts w:cstheme="minorHAnsi"/>
                <w:sz w:val="18"/>
                <w:szCs w:val="18"/>
              </w:rPr>
              <w:t>±1,7</w:t>
            </w:r>
          </w:p>
        </w:tc>
        <w:tc>
          <w:tcPr>
            <w:tcW w:w="597" w:type="pct"/>
          </w:tcPr>
          <w:p w:rsidR="00E659A9" w:rsidRPr="00886F99" w:rsidRDefault="00E659A9" w:rsidP="001731FC">
            <w:pPr>
              <w:jc w:val="center"/>
              <w:rPr>
                <w:sz w:val="18"/>
                <w:szCs w:val="18"/>
              </w:rPr>
            </w:pPr>
            <w:r w:rsidRPr="00886F99">
              <w:rPr>
                <w:sz w:val="18"/>
                <w:szCs w:val="18"/>
              </w:rPr>
              <w:t>7,9</w:t>
            </w:r>
            <w:r w:rsidRPr="00886F99">
              <w:rPr>
                <w:rFonts w:cstheme="minorHAnsi"/>
                <w:sz w:val="18"/>
                <w:szCs w:val="18"/>
              </w:rPr>
              <w:t>±3,8</w:t>
            </w:r>
          </w:p>
        </w:tc>
        <w:tc>
          <w:tcPr>
            <w:tcW w:w="597" w:type="pct"/>
          </w:tcPr>
          <w:p w:rsidR="00E659A9" w:rsidRPr="00886F99" w:rsidRDefault="00E659A9" w:rsidP="001731FC">
            <w:pPr>
              <w:jc w:val="center"/>
              <w:rPr>
                <w:sz w:val="18"/>
                <w:szCs w:val="18"/>
              </w:rPr>
            </w:pPr>
            <w:r w:rsidRPr="00886F99">
              <w:rPr>
                <w:sz w:val="18"/>
                <w:szCs w:val="18"/>
              </w:rPr>
              <w:t>7,7</w:t>
            </w:r>
            <w:r w:rsidRPr="00886F99">
              <w:rPr>
                <w:rFonts w:cstheme="minorHAnsi"/>
                <w:sz w:val="18"/>
                <w:szCs w:val="18"/>
              </w:rPr>
              <w:t>±4,0</w:t>
            </w:r>
          </w:p>
        </w:tc>
        <w:tc>
          <w:tcPr>
            <w:tcW w:w="597" w:type="pct"/>
          </w:tcPr>
          <w:p w:rsidR="00E659A9" w:rsidRPr="00886F99" w:rsidRDefault="00E659A9" w:rsidP="001731FC">
            <w:pPr>
              <w:jc w:val="center"/>
              <w:rPr>
                <w:sz w:val="18"/>
                <w:szCs w:val="18"/>
              </w:rPr>
            </w:pPr>
            <w:r w:rsidRPr="00886F99">
              <w:rPr>
                <w:sz w:val="18"/>
                <w:szCs w:val="18"/>
              </w:rPr>
              <w:t>9,2</w:t>
            </w:r>
            <w:r w:rsidRPr="00886F99">
              <w:rPr>
                <w:rFonts w:cstheme="minorHAnsi"/>
                <w:sz w:val="18"/>
                <w:szCs w:val="18"/>
              </w:rPr>
              <w:t>±2,2</w:t>
            </w:r>
          </w:p>
        </w:tc>
        <w:tc>
          <w:tcPr>
            <w:tcW w:w="597" w:type="pct"/>
          </w:tcPr>
          <w:p w:rsidR="00E659A9" w:rsidRPr="00886F99" w:rsidRDefault="00E659A9" w:rsidP="001731FC">
            <w:pPr>
              <w:jc w:val="center"/>
              <w:rPr>
                <w:sz w:val="18"/>
                <w:szCs w:val="18"/>
              </w:rPr>
            </w:pPr>
            <w:r w:rsidRPr="00886F99">
              <w:rPr>
                <w:sz w:val="18"/>
                <w:szCs w:val="18"/>
              </w:rPr>
              <w:t>8,5</w:t>
            </w:r>
            <w:r w:rsidRPr="00886F99">
              <w:rPr>
                <w:rFonts w:cstheme="minorHAnsi"/>
                <w:sz w:val="18"/>
                <w:szCs w:val="18"/>
              </w:rPr>
              <w:t>±2,2</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POST-BUBBLE-PCA-dip time</w:t>
            </w:r>
          </w:p>
        </w:tc>
        <w:tc>
          <w:tcPr>
            <w:tcW w:w="522" w:type="pct"/>
          </w:tcPr>
          <w:p w:rsidR="00E659A9" w:rsidRPr="00886F99" w:rsidRDefault="00E659A9" w:rsidP="001731FC">
            <w:pPr>
              <w:jc w:val="center"/>
              <w:rPr>
                <w:sz w:val="18"/>
                <w:szCs w:val="18"/>
              </w:rPr>
            </w:pPr>
            <w:r w:rsidRPr="00886F99">
              <w:rPr>
                <w:sz w:val="18"/>
                <w:szCs w:val="18"/>
              </w:rPr>
              <w:t>11,7</w:t>
            </w:r>
            <w:r w:rsidRPr="00886F99">
              <w:rPr>
                <w:rFonts w:cstheme="minorHAnsi"/>
                <w:sz w:val="18"/>
                <w:szCs w:val="18"/>
              </w:rPr>
              <w:t>±4,4</w:t>
            </w:r>
          </w:p>
        </w:tc>
        <w:tc>
          <w:tcPr>
            <w:tcW w:w="523" w:type="pct"/>
          </w:tcPr>
          <w:p w:rsidR="00E659A9" w:rsidRPr="00886F99" w:rsidRDefault="00E659A9" w:rsidP="001731FC">
            <w:pPr>
              <w:jc w:val="center"/>
              <w:rPr>
                <w:sz w:val="18"/>
                <w:szCs w:val="18"/>
              </w:rPr>
            </w:pPr>
            <w:r w:rsidRPr="00886F99">
              <w:rPr>
                <w:sz w:val="18"/>
                <w:szCs w:val="18"/>
              </w:rPr>
              <w:t>9,8</w:t>
            </w:r>
            <w:r w:rsidRPr="00886F99">
              <w:rPr>
                <w:rFonts w:cstheme="minorHAnsi"/>
                <w:sz w:val="18"/>
                <w:szCs w:val="18"/>
              </w:rPr>
              <w:t>±3,9</w:t>
            </w:r>
          </w:p>
        </w:tc>
        <w:tc>
          <w:tcPr>
            <w:tcW w:w="597" w:type="pct"/>
          </w:tcPr>
          <w:p w:rsidR="00E659A9" w:rsidRPr="00886F99" w:rsidRDefault="00E659A9" w:rsidP="001731FC">
            <w:pPr>
              <w:jc w:val="center"/>
              <w:rPr>
                <w:sz w:val="18"/>
                <w:szCs w:val="18"/>
              </w:rPr>
            </w:pPr>
            <w:r w:rsidRPr="00886F99">
              <w:rPr>
                <w:sz w:val="18"/>
                <w:szCs w:val="18"/>
              </w:rPr>
              <w:t>10,6</w:t>
            </w:r>
            <w:r w:rsidRPr="00886F99">
              <w:rPr>
                <w:rFonts w:cstheme="minorHAnsi"/>
                <w:sz w:val="18"/>
                <w:szCs w:val="18"/>
              </w:rPr>
              <w:t>±2,7</w:t>
            </w:r>
          </w:p>
        </w:tc>
        <w:tc>
          <w:tcPr>
            <w:tcW w:w="597" w:type="pct"/>
          </w:tcPr>
          <w:p w:rsidR="00E659A9" w:rsidRPr="00886F99" w:rsidRDefault="00E659A9" w:rsidP="001731FC">
            <w:pPr>
              <w:jc w:val="center"/>
              <w:rPr>
                <w:sz w:val="18"/>
                <w:szCs w:val="18"/>
              </w:rPr>
            </w:pPr>
            <w:r w:rsidRPr="00886F99">
              <w:rPr>
                <w:sz w:val="18"/>
                <w:szCs w:val="18"/>
              </w:rPr>
              <w:t>8,9</w:t>
            </w:r>
            <w:r w:rsidRPr="00886F99">
              <w:rPr>
                <w:rFonts w:cstheme="minorHAnsi"/>
                <w:sz w:val="18"/>
                <w:szCs w:val="18"/>
              </w:rPr>
              <w:t>±3,3</w:t>
            </w:r>
          </w:p>
        </w:tc>
        <w:tc>
          <w:tcPr>
            <w:tcW w:w="597" w:type="pct"/>
          </w:tcPr>
          <w:p w:rsidR="00E659A9" w:rsidRPr="00886F99" w:rsidRDefault="00E659A9" w:rsidP="001731FC">
            <w:pPr>
              <w:jc w:val="center"/>
              <w:rPr>
                <w:sz w:val="18"/>
                <w:szCs w:val="18"/>
              </w:rPr>
            </w:pPr>
            <w:r w:rsidRPr="00886F99">
              <w:rPr>
                <w:sz w:val="18"/>
                <w:szCs w:val="18"/>
              </w:rPr>
              <w:t>10,2</w:t>
            </w:r>
            <w:r w:rsidRPr="00886F99">
              <w:rPr>
                <w:rFonts w:cstheme="minorHAnsi"/>
                <w:sz w:val="18"/>
                <w:szCs w:val="18"/>
              </w:rPr>
              <w:t>±1,9</w:t>
            </w:r>
          </w:p>
        </w:tc>
        <w:tc>
          <w:tcPr>
            <w:tcW w:w="597" w:type="pct"/>
          </w:tcPr>
          <w:p w:rsidR="00E659A9" w:rsidRPr="00886F99" w:rsidRDefault="00E659A9" w:rsidP="001731FC">
            <w:pPr>
              <w:jc w:val="center"/>
              <w:rPr>
                <w:sz w:val="18"/>
                <w:szCs w:val="18"/>
              </w:rPr>
            </w:pPr>
            <w:r w:rsidRPr="00886F99">
              <w:rPr>
                <w:sz w:val="18"/>
                <w:szCs w:val="18"/>
              </w:rPr>
              <w:t>11,1</w:t>
            </w:r>
            <w:r w:rsidRPr="00886F99">
              <w:rPr>
                <w:rFonts w:cstheme="minorHAnsi"/>
                <w:sz w:val="18"/>
                <w:szCs w:val="18"/>
              </w:rPr>
              <w:t>±2,9</w:t>
            </w:r>
          </w:p>
        </w:tc>
      </w:tr>
      <w:tr w:rsidR="00E659A9" w:rsidRPr="00886F99"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0,258</w:t>
            </w:r>
          </w:p>
        </w:tc>
        <w:tc>
          <w:tcPr>
            <w:tcW w:w="523"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1,000</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0,069</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0,331</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0,203</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0,060</w:t>
            </w:r>
          </w:p>
        </w:tc>
      </w:tr>
      <w:tr w:rsidR="00E659A9" w:rsidRPr="00886F99" w:rsidTr="009E5AE5">
        <w:tc>
          <w:tcPr>
            <w:tcW w:w="1565" w:type="pct"/>
          </w:tcPr>
          <w:p w:rsidR="00E659A9" w:rsidRPr="00886F99" w:rsidRDefault="00E659A9" w:rsidP="001731FC">
            <w:pPr>
              <w:rPr>
                <w:sz w:val="18"/>
                <w:szCs w:val="18"/>
              </w:rPr>
            </w:pPr>
            <w:r w:rsidRPr="00886F99">
              <w:rPr>
                <w:sz w:val="18"/>
                <w:szCs w:val="18"/>
              </w:rPr>
              <w:t>PRE-BUBBLE-MCA-dip time</w:t>
            </w:r>
          </w:p>
        </w:tc>
        <w:tc>
          <w:tcPr>
            <w:tcW w:w="522" w:type="pct"/>
          </w:tcPr>
          <w:p w:rsidR="00E659A9" w:rsidRPr="00886F99" w:rsidRDefault="00E659A9" w:rsidP="001731FC">
            <w:pPr>
              <w:jc w:val="center"/>
              <w:rPr>
                <w:sz w:val="18"/>
                <w:szCs w:val="18"/>
              </w:rPr>
            </w:pPr>
            <w:r w:rsidRPr="00886F99">
              <w:rPr>
                <w:sz w:val="18"/>
                <w:szCs w:val="18"/>
              </w:rPr>
              <w:t>11,4</w:t>
            </w:r>
            <w:r w:rsidRPr="00886F99">
              <w:rPr>
                <w:rFonts w:cstheme="minorHAnsi"/>
                <w:sz w:val="18"/>
                <w:szCs w:val="18"/>
              </w:rPr>
              <w:t>±2,7</w:t>
            </w:r>
          </w:p>
        </w:tc>
        <w:tc>
          <w:tcPr>
            <w:tcW w:w="523" w:type="pct"/>
          </w:tcPr>
          <w:p w:rsidR="00E659A9" w:rsidRPr="00886F99" w:rsidRDefault="00E659A9" w:rsidP="001731FC">
            <w:pPr>
              <w:jc w:val="center"/>
              <w:rPr>
                <w:sz w:val="18"/>
                <w:szCs w:val="18"/>
              </w:rPr>
            </w:pPr>
            <w:r w:rsidRPr="00886F99">
              <w:rPr>
                <w:sz w:val="18"/>
                <w:szCs w:val="18"/>
              </w:rPr>
              <w:t>9,9</w:t>
            </w:r>
            <w:r w:rsidRPr="00886F99">
              <w:rPr>
                <w:rFonts w:cstheme="minorHAnsi"/>
                <w:sz w:val="18"/>
                <w:szCs w:val="18"/>
              </w:rPr>
              <w:t>±2,4</w:t>
            </w:r>
          </w:p>
        </w:tc>
        <w:tc>
          <w:tcPr>
            <w:tcW w:w="597" w:type="pct"/>
          </w:tcPr>
          <w:p w:rsidR="00E659A9" w:rsidRPr="00886F99" w:rsidRDefault="00E659A9" w:rsidP="001731FC">
            <w:pPr>
              <w:jc w:val="center"/>
              <w:rPr>
                <w:sz w:val="18"/>
                <w:szCs w:val="18"/>
              </w:rPr>
            </w:pPr>
            <w:r w:rsidRPr="00886F99">
              <w:rPr>
                <w:sz w:val="18"/>
                <w:szCs w:val="18"/>
              </w:rPr>
              <w:t>10,1</w:t>
            </w:r>
            <w:r w:rsidRPr="00886F99">
              <w:rPr>
                <w:rFonts w:cstheme="minorHAnsi"/>
                <w:sz w:val="18"/>
                <w:szCs w:val="18"/>
              </w:rPr>
              <w:t>±2,8</w:t>
            </w:r>
          </w:p>
        </w:tc>
        <w:tc>
          <w:tcPr>
            <w:tcW w:w="597" w:type="pct"/>
          </w:tcPr>
          <w:p w:rsidR="00E659A9" w:rsidRPr="00886F99" w:rsidRDefault="00E659A9" w:rsidP="001731FC">
            <w:pPr>
              <w:jc w:val="center"/>
              <w:rPr>
                <w:sz w:val="18"/>
                <w:szCs w:val="18"/>
              </w:rPr>
            </w:pPr>
            <w:r w:rsidRPr="00886F99">
              <w:rPr>
                <w:sz w:val="18"/>
                <w:szCs w:val="18"/>
              </w:rPr>
              <w:t>11,1</w:t>
            </w:r>
            <w:r w:rsidRPr="00886F99">
              <w:rPr>
                <w:rFonts w:cstheme="minorHAnsi"/>
                <w:sz w:val="18"/>
                <w:szCs w:val="18"/>
              </w:rPr>
              <w:t>±2,5</w:t>
            </w:r>
          </w:p>
        </w:tc>
        <w:tc>
          <w:tcPr>
            <w:tcW w:w="597" w:type="pct"/>
          </w:tcPr>
          <w:p w:rsidR="00E659A9" w:rsidRPr="00886F99" w:rsidRDefault="00E659A9" w:rsidP="001731FC">
            <w:pPr>
              <w:jc w:val="center"/>
              <w:rPr>
                <w:sz w:val="18"/>
                <w:szCs w:val="18"/>
              </w:rPr>
            </w:pPr>
            <w:r w:rsidRPr="00886F99">
              <w:rPr>
                <w:sz w:val="18"/>
                <w:szCs w:val="18"/>
              </w:rPr>
              <w:t>9,9</w:t>
            </w:r>
            <w:r w:rsidRPr="00886F99">
              <w:rPr>
                <w:rFonts w:cstheme="minorHAnsi"/>
                <w:sz w:val="18"/>
                <w:szCs w:val="18"/>
              </w:rPr>
              <w:t>±3,3</w:t>
            </w:r>
          </w:p>
        </w:tc>
        <w:tc>
          <w:tcPr>
            <w:tcW w:w="597" w:type="pct"/>
          </w:tcPr>
          <w:p w:rsidR="00E659A9" w:rsidRPr="00886F99" w:rsidRDefault="00E659A9" w:rsidP="001731FC">
            <w:pPr>
              <w:jc w:val="center"/>
              <w:rPr>
                <w:sz w:val="18"/>
                <w:szCs w:val="18"/>
              </w:rPr>
            </w:pPr>
            <w:r w:rsidRPr="00886F99">
              <w:rPr>
                <w:sz w:val="18"/>
                <w:szCs w:val="18"/>
              </w:rPr>
              <w:t>10,9</w:t>
            </w:r>
            <w:r w:rsidRPr="00886F99">
              <w:rPr>
                <w:rFonts w:cstheme="minorHAnsi"/>
                <w:sz w:val="18"/>
                <w:szCs w:val="18"/>
              </w:rPr>
              <w:t>±3,8</w:t>
            </w:r>
          </w:p>
        </w:tc>
      </w:tr>
      <w:tr w:rsidR="00E659A9" w:rsidRPr="00886F99" w:rsidTr="009E5AE5">
        <w:tc>
          <w:tcPr>
            <w:tcW w:w="1565" w:type="pct"/>
          </w:tcPr>
          <w:p w:rsidR="00E659A9" w:rsidRPr="00886F99" w:rsidRDefault="00E659A9" w:rsidP="001731FC">
            <w:pPr>
              <w:rPr>
                <w:sz w:val="18"/>
                <w:szCs w:val="18"/>
              </w:rPr>
            </w:pPr>
            <w:r w:rsidRPr="00886F99">
              <w:rPr>
                <w:sz w:val="18"/>
                <w:szCs w:val="18"/>
              </w:rPr>
              <w:t>POST-BUBBLE-MCA-dip time</w:t>
            </w:r>
          </w:p>
        </w:tc>
        <w:tc>
          <w:tcPr>
            <w:tcW w:w="522" w:type="pct"/>
          </w:tcPr>
          <w:p w:rsidR="00E659A9" w:rsidRPr="00886F99" w:rsidRDefault="00E659A9" w:rsidP="001731FC">
            <w:pPr>
              <w:jc w:val="center"/>
              <w:rPr>
                <w:sz w:val="18"/>
                <w:szCs w:val="18"/>
              </w:rPr>
            </w:pPr>
            <w:r w:rsidRPr="00886F99">
              <w:rPr>
                <w:sz w:val="18"/>
                <w:szCs w:val="18"/>
              </w:rPr>
              <w:t>11,3</w:t>
            </w:r>
            <w:r w:rsidRPr="00886F99">
              <w:rPr>
                <w:rFonts w:cstheme="minorHAnsi"/>
                <w:sz w:val="18"/>
                <w:szCs w:val="18"/>
              </w:rPr>
              <w:t>±2,3</w:t>
            </w:r>
          </w:p>
        </w:tc>
        <w:tc>
          <w:tcPr>
            <w:tcW w:w="523" w:type="pct"/>
          </w:tcPr>
          <w:p w:rsidR="00E659A9" w:rsidRPr="00886F99" w:rsidRDefault="00E659A9" w:rsidP="001731FC">
            <w:pPr>
              <w:jc w:val="center"/>
              <w:rPr>
                <w:sz w:val="18"/>
                <w:szCs w:val="18"/>
              </w:rPr>
            </w:pPr>
            <w:r w:rsidRPr="00886F99">
              <w:rPr>
                <w:sz w:val="18"/>
                <w:szCs w:val="18"/>
              </w:rPr>
              <w:t>9,6</w:t>
            </w:r>
            <w:r w:rsidRPr="00886F99">
              <w:rPr>
                <w:rFonts w:cstheme="minorHAnsi"/>
                <w:sz w:val="18"/>
                <w:szCs w:val="18"/>
              </w:rPr>
              <w:t>±1,9</w:t>
            </w:r>
          </w:p>
        </w:tc>
        <w:tc>
          <w:tcPr>
            <w:tcW w:w="597" w:type="pct"/>
          </w:tcPr>
          <w:p w:rsidR="00E659A9" w:rsidRPr="00886F99" w:rsidRDefault="00E659A9" w:rsidP="001731FC">
            <w:pPr>
              <w:jc w:val="center"/>
              <w:rPr>
                <w:sz w:val="18"/>
                <w:szCs w:val="18"/>
              </w:rPr>
            </w:pPr>
            <w:r w:rsidRPr="00886F99">
              <w:rPr>
                <w:sz w:val="18"/>
                <w:szCs w:val="18"/>
              </w:rPr>
              <w:t>9,7</w:t>
            </w:r>
            <w:r w:rsidRPr="00886F99">
              <w:rPr>
                <w:rFonts w:cstheme="minorHAnsi"/>
                <w:sz w:val="18"/>
                <w:szCs w:val="18"/>
              </w:rPr>
              <w:t>±3,0</w:t>
            </w:r>
          </w:p>
        </w:tc>
        <w:tc>
          <w:tcPr>
            <w:tcW w:w="597" w:type="pct"/>
          </w:tcPr>
          <w:p w:rsidR="00E659A9" w:rsidRPr="00886F99" w:rsidRDefault="00E659A9" w:rsidP="001731FC">
            <w:pPr>
              <w:jc w:val="center"/>
              <w:rPr>
                <w:sz w:val="18"/>
                <w:szCs w:val="18"/>
              </w:rPr>
            </w:pPr>
            <w:r w:rsidRPr="00886F99">
              <w:rPr>
                <w:sz w:val="18"/>
                <w:szCs w:val="18"/>
              </w:rPr>
              <w:t>12,4</w:t>
            </w:r>
            <w:r w:rsidRPr="00886F99">
              <w:rPr>
                <w:rFonts w:cstheme="minorHAnsi"/>
                <w:sz w:val="18"/>
                <w:szCs w:val="18"/>
              </w:rPr>
              <w:t>±5,2</w:t>
            </w:r>
          </w:p>
        </w:tc>
        <w:tc>
          <w:tcPr>
            <w:tcW w:w="597" w:type="pct"/>
          </w:tcPr>
          <w:p w:rsidR="00E659A9" w:rsidRPr="00886F99" w:rsidRDefault="00E659A9" w:rsidP="001731FC">
            <w:pPr>
              <w:jc w:val="center"/>
              <w:rPr>
                <w:sz w:val="18"/>
                <w:szCs w:val="18"/>
              </w:rPr>
            </w:pPr>
            <w:r w:rsidRPr="00886F99">
              <w:rPr>
                <w:sz w:val="18"/>
                <w:szCs w:val="18"/>
              </w:rPr>
              <w:t>9,6</w:t>
            </w:r>
            <w:r w:rsidRPr="00886F99">
              <w:rPr>
                <w:rFonts w:cstheme="minorHAnsi"/>
                <w:sz w:val="18"/>
                <w:szCs w:val="18"/>
              </w:rPr>
              <w:t>±1,8</w:t>
            </w:r>
          </w:p>
        </w:tc>
        <w:tc>
          <w:tcPr>
            <w:tcW w:w="597" w:type="pct"/>
          </w:tcPr>
          <w:p w:rsidR="00E659A9" w:rsidRPr="00886F99" w:rsidRDefault="00E659A9" w:rsidP="001731FC">
            <w:pPr>
              <w:jc w:val="center"/>
              <w:rPr>
                <w:sz w:val="18"/>
                <w:szCs w:val="18"/>
              </w:rPr>
            </w:pPr>
            <w:r w:rsidRPr="00886F99">
              <w:rPr>
                <w:sz w:val="18"/>
                <w:szCs w:val="18"/>
              </w:rPr>
              <w:t>9,6</w:t>
            </w:r>
            <w:r w:rsidRPr="00886F99">
              <w:rPr>
                <w:rFonts w:cstheme="minorHAnsi"/>
                <w:sz w:val="18"/>
                <w:szCs w:val="18"/>
              </w:rPr>
              <w:t>±3,3</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2F2F2" w:themeFill="background1" w:themeFillShade="F2"/>
          </w:tcPr>
          <w:p w:rsidR="00E659A9" w:rsidRPr="00886F99" w:rsidRDefault="00E659A9" w:rsidP="001731FC">
            <w:pPr>
              <w:rPr>
                <w:sz w:val="18"/>
                <w:szCs w:val="18"/>
              </w:rPr>
            </w:pPr>
            <w:r w:rsidRPr="00886F99">
              <w:rPr>
                <w:sz w:val="18"/>
                <w:szCs w:val="18"/>
              </w:rPr>
              <w:t>P</w:t>
            </w:r>
          </w:p>
        </w:tc>
        <w:tc>
          <w:tcPr>
            <w:tcW w:w="522"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0,965</w:t>
            </w:r>
          </w:p>
        </w:tc>
        <w:tc>
          <w:tcPr>
            <w:tcW w:w="523"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0,722</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0,733</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0,331</w:t>
            </w:r>
          </w:p>
        </w:tc>
        <w:tc>
          <w:tcPr>
            <w:tcW w:w="597" w:type="pct"/>
            <w:shd w:val="clear" w:color="auto" w:fill="F2F2F2" w:themeFill="background1" w:themeFillShade="F2"/>
          </w:tcPr>
          <w:p w:rsidR="00E659A9" w:rsidRPr="00886F99" w:rsidRDefault="00E659A9" w:rsidP="001731FC">
            <w:pPr>
              <w:jc w:val="center"/>
              <w:rPr>
                <w:sz w:val="18"/>
                <w:szCs w:val="18"/>
              </w:rPr>
            </w:pPr>
            <w:r w:rsidRPr="00886F99">
              <w:rPr>
                <w:sz w:val="18"/>
                <w:szCs w:val="18"/>
              </w:rPr>
              <w:t>0,799</w:t>
            </w:r>
          </w:p>
        </w:tc>
        <w:tc>
          <w:tcPr>
            <w:tcW w:w="597" w:type="pct"/>
            <w:shd w:val="clear" w:color="auto" w:fill="F2F2F2" w:themeFill="background1" w:themeFillShade="F2"/>
          </w:tcPr>
          <w:p w:rsidR="00E659A9" w:rsidRPr="0051775B" w:rsidRDefault="00E659A9" w:rsidP="001731FC">
            <w:pPr>
              <w:jc w:val="center"/>
              <w:rPr>
                <w:sz w:val="18"/>
                <w:szCs w:val="18"/>
              </w:rPr>
            </w:pPr>
            <w:r w:rsidRPr="00886F99">
              <w:rPr>
                <w:sz w:val="18"/>
                <w:szCs w:val="18"/>
              </w:rPr>
              <w:t>0,293</w:t>
            </w:r>
          </w:p>
        </w:tc>
      </w:tr>
    </w:tbl>
    <w:p w:rsidR="00E659A9" w:rsidRDefault="00E659A9">
      <w:pPr>
        <w:rPr>
          <w:rFonts w:ascii="Arial" w:hAnsi="Arial" w:cs="Arial"/>
          <w:sz w:val="24"/>
          <w:szCs w:val="24"/>
        </w:rPr>
      </w:pPr>
      <w:r>
        <w:rPr>
          <w:rFonts w:ascii="Arial" w:hAnsi="Arial" w:cs="Arial"/>
          <w:sz w:val="24"/>
          <w:szCs w:val="24"/>
        </w:rPr>
        <w:br w:type="page"/>
      </w:r>
    </w:p>
    <w:p w:rsidR="00E659A9" w:rsidRPr="00833EE8" w:rsidRDefault="00E659A9" w:rsidP="009E5AE5">
      <w:pPr>
        <w:pStyle w:val="Tablolar6"/>
      </w:pPr>
      <w:bookmarkStart w:id="57" w:name="_Toc492677375"/>
      <w:r w:rsidRPr="00833EE8">
        <w:lastRenderedPageBreak/>
        <w:t xml:space="preserve">Tablo </w:t>
      </w:r>
      <w:r w:rsidR="007259BF">
        <w:t>3.</w:t>
      </w:r>
      <w:r w:rsidR="009E5AE5">
        <w:t xml:space="preserve">8a. </w:t>
      </w:r>
      <w:r w:rsidRPr="009E5AE5">
        <w:rPr>
          <w:b w:val="0"/>
        </w:rPr>
        <w:t>Ajite salinin hiperventilasyon plato yanıtına olan etkisi I</w:t>
      </w:r>
      <w:bookmarkEnd w:id="57"/>
    </w:p>
    <w:tbl>
      <w:tblPr>
        <w:tblStyle w:val="TabloKlavuzu"/>
        <w:tblW w:w="5000" w:type="pct"/>
        <w:tblLook w:val="04A0" w:firstRow="1" w:lastRow="0" w:firstColumn="1" w:lastColumn="0" w:noHBand="0" w:noVBand="1"/>
      </w:tblPr>
      <w:tblGrid>
        <w:gridCol w:w="4202"/>
        <w:gridCol w:w="1402"/>
        <w:gridCol w:w="1407"/>
        <w:gridCol w:w="1603"/>
        <w:gridCol w:w="1606"/>
        <w:gridCol w:w="1603"/>
        <w:gridCol w:w="1603"/>
      </w:tblGrid>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p>
        </w:tc>
        <w:tc>
          <w:tcPr>
            <w:tcW w:w="1046"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PFO</w:t>
            </w:r>
          </w:p>
        </w:tc>
        <w:tc>
          <w:tcPr>
            <w:tcW w:w="1195"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w:t>
            </w:r>
          </w:p>
        </w:tc>
        <w:tc>
          <w:tcPr>
            <w:tcW w:w="1195" w:type="pct"/>
            <w:gridSpan w:val="2"/>
            <w:shd w:val="clear" w:color="auto" w:fill="F2F2F2" w:themeFill="background1" w:themeFillShade="F2"/>
          </w:tcPr>
          <w:p w:rsidR="00E659A9" w:rsidRPr="0051775B" w:rsidRDefault="00E659A9" w:rsidP="001731FC">
            <w:pPr>
              <w:jc w:val="center"/>
              <w:rPr>
                <w:b/>
                <w:sz w:val="18"/>
                <w:szCs w:val="18"/>
              </w:rPr>
            </w:pPr>
            <w:r w:rsidRPr="0051775B">
              <w:rPr>
                <w:b/>
                <w:sz w:val="18"/>
                <w:szCs w:val="18"/>
              </w:rPr>
              <w:t>Migren+PFO</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var</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Yok</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Grup</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2,4,6</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1,3,5</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3,4,5,6</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4,6</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1,2,3,5</w:t>
            </w:r>
          </w:p>
        </w:tc>
      </w:tr>
      <w:tr w:rsidR="00E659A9" w:rsidRPr="0051775B" w:rsidTr="009E5AE5">
        <w:tc>
          <w:tcPr>
            <w:tcW w:w="1565" w:type="pct"/>
            <w:shd w:val="clear" w:color="auto" w:fill="F2F2F2" w:themeFill="background1" w:themeFillShade="F2"/>
          </w:tcPr>
          <w:p w:rsidR="00E659A9" w:rsidRPr="0051775B" w:rsidRDefault="00E659A9" w:rsidP="001731FC">
            <w:pPr>
              <w:rPr>
                <w:b/>
                <w:sz w:val="18"/>
                <w:szCs w:val="18"/>
              </w:rPr>
            </w:pPr>
            <w:r w:rsidRPr="0051775B">
              <w:rPr>
                <w:b/>
                <w:sz w:val="18"/>
                <w:szCs w:val="18"/>
              </w:rPr>
              <w:t>N</w:t>
            </w:r>
          </w:p>
        </w:tc>
        <w:tc>
          <w:tcPr>
            <w:tcW w:w="522"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26</w:t>
            </w:r>
          </w:p>
        </w:tc>
        <w:tc>
          <w:tcPr>
            <w:tcW w:w="523"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30</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18</w:t>
            </w:r>
          </w:p>
        </w:tc>
        <w:tc>
          <w:tcPr>
            <w:tcW w:w="597" w:type="pct"/>
            <w:shd w:val="clear" w:color="auto" w:fill="F2F2F2" w:themeFill="background1" w:themeFillShade="F2"/>
          </w:tcPr>
          <w:p w:rsidR="00E659A9" w:rsidRPr="0051775B" w:rsidRDefault="00E659A9" w:rsidP="001731FC">
            <w:pPr>
              <w:jc w:val="center"/>
              <w:rPr>
                <w:b/>
                <w:sz w:val="18"/>
                <w:szCs w:val="18"/>
              </w:rPr>
            </w:pPr>
            <w:r w:rsidRPr="0051775B">
              <w:rPr>
                <w:b/>
                <w:sz w:val="18"/>
                <w:szCs w:val="18"/>
              </w:rPr>
              <w:t>38</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 xml:space="preserve">HPV </w:t>
            </w:r>
            <w:r w:rsidRPr="0051775B">
              <w:rPr>
                <w:sz w:val="18"/>
                <w:szCs w:val="18"/>
              </w:rPr>
              <w:t>PCA all</w:t>
            </w:r>
          </w:p>
        </w:tc>
        <w:tc>
          <w:tcPr>
            <w:tcW w:w="522" w:type="pct"/>
          </w:tcPr>
          <w:p w:rsidR="00E659A9" w:rsidRPr="0051775B" w:rsidRDefault="00E659A9" w:rsidP="001731FC">
            <w:pPr>
              <w:jc w:val="center"/>
              <w:rPr>
                <w:sz w:val="18"/>
                <w:szCs w:val="18"/>
              </w:rPr>
            </w:pPr>
            <w:r>
              <w:rPr>
                <w:sz w:val="18"/>
                <w:szCs w:val="18"/>
              </w:rPr>
              <w:t>27,0</w:t>
            </w:r>
            <w:r>
              <w:rPr>
                <w:rFonts w:cstheme="minorHAnsi"/>
                <w:sz w:val="18"/>
                <w:szCs w:val="18"/>
              </w:rPr>
              <w:t>±10,7</w:t>
            </w:r>
          </w:p>
        </w:tc>
        <w:tc>
          <w:tcPr>
            <w:tcW w:w="523" w:type="pct"/>
          </w:tcPr>
          <w:p w:rsidR="00E659A9" w:rsidRPr="0051775B" w:rsidRDefault="00E659A9" w:rsidP="001731FC">
            <w:pPr>
              <w:jc w:val="center"/>
              <w:rPr>
                <w:sz w:val="18"/>
                <w:szCs w:val="18"/>
              </w:rPr>
            </w:pPr>
            <w:r>
              <w:rPr>
                <w:sz w:val="18"/>
                <w:szCs w:val="18"/>
              </w:rPr>
              <w:t>26,9</w:t>
            </w:r>
            <w:r>
              <w:rPr>
                <w:rFonts w:cstheme="minorHAnsi"/>
                <w:sz w:val="18"/>
                <w:szCs w:val="18"/>
              </w:rPr>
              <w:t>±6,9</w:t>
            </w:r>
          </w:p>
        </w:tc>
        <w:tc>
          <w:tcPr>
            <w:tcW w:w="597" w:type="pct"/>
          </w:tcPr>
          <w:p w:rsidR="00E659A9" w:rsidRPr="0051775B" w:rsidRDefault="00E659A9" w:rsidP="001731FC">
            <w:pPr>
              <w:jc w:val="center"/>
              <w:rPr>
                <w:sz w:val="18"/>
                <w:szCs w:val="18"/>
              </w:rPr>
            </w:pPr>
            <w:r>
              <w:rPr>
                <w:sz w:val="18"/>
                <w:szCs w:val="18"/>
              </w:rPr>
              <w:t>28,0</w:t>
            </w:r>
            <w:r>
              <w:rPr>
                <w:rFonts w:cstheme="minorHAnsi"/>
                <w:sz w:val="18"/>
                <w:szCs w:val="18"/>
              </w:rPr>
              <w:t>±8,9</w:t>
            </w:r>
          </w:p>
        </w:tc>
        <w:tc>
          <w:tcPr>
            <w:tcW w:w="597" w:type="pct"/>
          </w:tcPr>
          <w:p w:rsidR="00E659A9" w:rsidRPr="0051775B" w:rsidRDefault="00E659A9" w:rsidP="001731FC">
            <w:pPr>
              <w:jc w:val="center"/>
              <w:rPr>
                <w:sz w:val="18"/>
                <w:szCs w:val="18"/>
              </w:rPr>
            </w:pPr>
            <w:r>
              <w:rPr>
                <w:sz w:val="18"/>
                <w:szCs w:val="18"/>
              </w:rPr>
              <w:t>24,7</w:t>
            </w:r>
            <w:r>
              <w:rPr>
                <w:rFonts w:cstheme="minorHAnsi"/>
                <w:sz w:val="18"/>
                <w:szCs w:val="18"/>
              </w:rPr>
              <w:t>±8,3</w:t>
            </w:r>
          </w:p>
        </w:tc>
        <w:tc>
          <w:tcPr>
            <w:tcW w:w="597" w:type="pct"/>
          </w:tcPr>
          <w:p w:rsidR="00E659A9" w:rsidRPr="0051775B" w:rsidRDefault="00E659A9" w:rsidP="001731FC">
            <w:pPr>
              <w:jc w:val="center"/>
              <w:rPr>
                <w:sz w:val="18"/>
                <w:szCs w:val="18"/>
              </w:rPr>
            </w:pPr>
            <w:r>
              <w:rPr>
                <w:sz w:val="18"/>
                <w:szCs w:val="18"/>
              </w:rPr>
              <w:t>27,9</w:t>
            </w:r>
            <w:r>
              <w:rPr>
                <w:rFonts w:cstheme="minorHAnsi"/>
                <w:sz w:val="18"/>
                <w:szCs w:val="18"/>
              </w:rPr>
              <w:t>±11,4</w:t>
            </w:r>
          </w:p>
        </w:tc>
        <w:tc>
          <w:tcPr>
            <w:tcW w:w="597" w:type="pct"/>
          </w:tcPr>
          <w:p w:rsidR="00E659A9" w:rsidRPr="0051775B" w:rsidRDefault="00E659A9" w:rsidP="001731FC">
            <w:pPr>
              <w:jc w:val="center"/>
              <w:rPr>
                <w:sz w:val="18"/>
                <w:szCs w:val="18"/>
              </w:rPr>
            </w:pPr>
            <w:r>
              <w:rPr>
                <w:sz w:val="18"/>
                <w:szCs w:val="18"/>
              </w:rPr>
              <w:t>26,5</w:t>
            </w:r>
            <w:r>
              <w:rPr>
                <w:rFonts w:cstheme="minorHAnsi"/>
                <w:sz w:val="18"/>
                <w:szCs w:val="18"/>
              </w:rPr>
              <w:t>±7,3</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w:t>
            </w:r>
            <w:r w:rsidRPr="0051775B">
              <w:rPr>
                <w:sz w:val="18"/>
                <w:szCs w:val="18"/>
              </w:rPr>
              <w:t xml:space="preserve"> PCA all</w:t>
            </w:r>
          </w:p>
        </w:tc>
        <w:tc>
          <w:tcPr>
            <w:tcW w:w="522" w:type="pct"/>
          </w:tcPr>
          <w:p w:rsidR="00E659A9" w:rsidRPr="0051775B" w:rsidRDefault="00E659A9" w:rsidP="001731FC">
            <w:pPr>
              <w:jc w:val="center"/>
              <w:rPr>
                <w:sz w:val="18"/>
                <w:szCs w:val="18"/>
              </w:rPr>
            </w:pPr>
            <w:r>
              <w:rPr>
                <w:sz w:val="18"/>
                <w:szCs w:val="18"/>
              </w:rPr>
              <w:t>29,0</w:t>
            </w:r>
            <w:r>
              <w:rPr>
                <w:rFonts w:cstheme="minorHAnsi"/>
                <w:sz w:val="18"/>
                <w:szCs w:val="18"/>
              </w:rPr>
              <w:t>±8,6</w:t>
            </w:r>
          </w:p>
        </w:tc>
        <w:tc>
          <w:tcPr>
            <w:tcW w:w="523" w:type="pct"/>
          </w:tcPr>
          <w:p w:rsidR="00E659A9" w:rsidRPr="0051775B" w:rsidRDefault="00E659A9" w:rsidP="001731FC">
            <w:pPr>
              <w:jc w:val="center"/>
              <w:rPr>
                <w:sz w:val="18"/>
                <w:szCs w:val="18"/>
              </w:rPr>
            </w:pPr>
            <w:r>
              <w:rPr>
                <w:sz w:val="18"/>
                <w:szCs w:val="18"/>
              </w:rPr>
              <w:t>25,3</w:t>
            </w:r>
            <w:r>
              <w:rPr>
                <w:rFonts w:cstheme="minorHAnsi"/>
                <w:sz w:val="18"/>
                <w:szCs w:val="18"/>
              </w:rPr>
              <w:t>±7,2</w:t>
            </w:r>
          </w:p>
        </w:tc>
        <w:tc>
          <w:tcPr>
            <w:tcW w:w="597" w:type="pct"/>
          </w:tcPr>
          <w:p w:rsidR="00E659A9" w:rsidRPr="0051775B" w:rsidRDefault="00E659A9" w:rsidP="001731FC">
            <w:pPr>
              <w:jc w:val="center"/>
              <w:rPr>
                <w:sz w:val="18"/>
                <w:szCs w:val="18"/>
              </w:rPr>
            </w:pPr>
            <w:r>
              <w:rPr>
                <w:sz w:val="18"/>
                <w:szCs w:val="18"/>
              </w:rPr>
              <w:t>27,2</w:t>
            </w:r>
            <w:r>
              <w:rPr>
                <w:rFonts w:cstheme="minorHAnsi"/>
                <w:sz w:val="18"/>
                <w:szCs w:val="18"/>
              </w:rPr>
              <w:t>±7,6</w:t>
            </w:r>
          </w:p>
        </w:tc>
        <w:tc>
          <w:tcPr>
            <w:tcW w:w="597" w:type="pct"/>
          </w:tcPr>
          <w:p w:rsidR="00E659A9" w:rsidRPr="0051775B" w:rsidRDefault="00E659A9" w:rsidP="001731FC">
            <w:pPr>
              <w:jc w:val="center"/>
              <w:rPr>
                <w:sz w:val="18"/>
                <w:szCs w:val="18"/>
              </w:rPr>
            </w:pPr>
            <w:r>
              <w:rPr>
                <w:sz w:val="18"/>
                <w:szCs w:val="18"/>
              </w:rPr>
              <w:t>26,4</w:t>
            </w:r>
            <w:r>
              <w:rPr>
                <w:rFonts w:cstheme="minorHAnsi"/>
                <w:sz w:val="18"/>
                <w:szCs w:val="18"/>
              </w:rPr>
              <w:t>±9,1</w:t>
            </w:r>
          </w:p>
        </w:tc>
        <w:tc>
          <w:tcPr>
            <w:tcW w:w="597" w:type="pct"/>
          </w:tcPr>
          <w:p w:rsidR="00E659A9" w:rsidRPr="0051775B" w:rsidRDefault="00E659A9" w:rsidP="001731FC">
            <w:pPr>
              <w:jc w:val="center"/>
              <w:rPr>
                <w:sz w:val="18"/>
                <w:szCs w:val="18"/>
              </w:rPr>
            </w:pPr>
            <w:r>
              <w:rPr>
                <w:sz w:val="18"/>
                <w:szCs w:val="18"/>
              </w:rPr>
              <w:t>28,6</w:t>
            </w:r>
            <w:r>
              <w:rPr>
                <w:rFonts w:cstheme="minorHAnsi"/>
                <w:sz w:val="18"/>
                <w:szCs w:val="18"/>
              </w:rPr>
              <w:t>±8,3</w:t>
            </w:r>
          </w:p>
        </w:tc>
        <w:tc>
          <w:tcPr>
            <w:tcW w:w="597" w:type="pct"/>
          </w:tcPr>
          <w:p w:rsidR="00E659A9" w:rsidRPr="0051775B" w:rsidRDefault="00E659A9" w:rsidP="001731FC">
            <w:pPr>
              <w:jc w:val="center"/>
              <w:rPr>
                <w:sz w:val="18"/>
                <w:szCs w:val="18"/>
              </w:rPr>
            </w:pPr>
            <w:r>
              <w:rPr>
                <w:sz w:val="18"/>
                <w:szCs w:val="18"/>
              </w:rPr>
              <w:t>26,3</w:t>
            </w:r>
            <w:r>
              <w:rPr>
                <w:rFonts w:cstheme="minorHAnsi"/>
                <w:sz w:val="18"/>
                <w:szCs w:val="18"/>
              </w:rPr>
              <w:t>±7,9</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0,271</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0,321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0,655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0,357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0,744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0,876</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PCA ipsil.</w:t>
            </w:r>
          </w:p>
        </w:tc>
        <w:tc>
          <w:tcPr>
            <w:tcW w:w="522" w:type="pct"/>
          </w:tcPr>
          <w:p w:rsidR="00E659A9" w:rsidRPr="0051775B" w:rsidRDefault="00E659A9" w:rsidP="001731FC">
            <w:pPr>
              <w:jc w:val="center"/>
              <w:rPr>
                <w:sz w:val="18"/>
                <w:szCs w:val="18"/>
              </w:rPr>
            </w:pPr>
            <w:r>
              <w:rPr>
                <w:sz w:val="18"/>
                <w:szCs w:val="18"/>
              </w:rPr>
              <w:t>28,6</w:t>
            </w:r>
            <w:r>
              <w:rPr>
                <w:rFonts w:cstheme="minorHAnsi"/>
                <w:sz w:val="18"/>
                <w:szCs w:val="18"/>
              </w:rPr>
              <w:t>±8,6</w:t>
            </w:r>
          </w:p>
        </w:tc>
        <w:tc>
          <w:tcPr>
            <w:tcW w:w="523" w:type="pct"/>
          </w:tcPr>
          <w:p w:rsidR="00E659A9" w:rsidRPr="0051775B" w:rsidRDefault="00E659A9" w:rsidP="001731FC">
            <w:pPr>
              <w:jc w:val="center"/>
              <w:rPr>
                <w:sz w:val="18"/>
                <w:szCs w:val="18"/>
              </w:rPr>
            </w:pPr>
            <w:r>
              <w:rPr>
                <w:sz w:val="18"/>
                <w:szCs w:val="18"/>
              </w:rPr>
              <w:t>27,8</w:t>
            </w:r>
            <w:r>
              <w:rPr>
                <w:rFonts w:cstheme="minorHAnsi"/>
                <w:sz w:val="18"/>
                <w:szCs w:val="18"/>
              </w:rPr>
              <w:t>±8,5</w:t>
            </w:r>
          </w:p>
        </w:tc>
        <w:tc>
          <w:tcPr>
            <w:tcW w:w="597" w:type="pct"/>
          </w:tcPr>
          <w:p w:rsidR="00E659A9" w:rsidRPr="0051775B" w:rsidRDefault="00E659A9" w:rsidP="001731FC">
            <w:pPr>
              <w:jc w:val="center"/>
              <w:rPr>
                <w:sz w:val="18"/>
                <w:szCs w:val="18"/>
              </w:rPr>
            </w:pPr>
            <w:r>
              <w:rPr>
                <w:sz w:val="18"/>
                <w:szCs w:val="18"/>
              </w:rPr>
              <w:t>29,0</w:t>
            </w:r>
            <w:r>
              <w:rPr>
                <w:rFonts w:cstheme="minorHAnsi"/>
                <w:sz w:val="18"/>
                <w:szCs w:val="18"/>
              </w:rPr>
              <w:t>±8,4</w:t>
            </w:r>
          </w:p>
        </w:tc>
        <w:tc>
          <w:tcPr>
            <w:tcW w:w="597" w:type="pct"/>
          </w:tcPr>
          <w:p w:rsidR="00E659A9" w:rsidRPr="0051775B" w:rsidRDefault="00E659A9" w:rsidP="001731FC">
            <w:pPr>
              <w:jc w:val="center"/>
              <w:rPr>
                <w:sz w:val="18"/>
                <w:szCs w:val="18"/>
              </w:rPr>
            </w:pPr>
            <w:r>
              <w:rPr>
                <w:sz w:val="18"/>
                <w:szCs w:val="18"/>
              </w:rPr>
              <w:t>26,4</w:t>
            </w:r>
            <w:r>
              <w:rPr>
                <w:rFonts w:cstheme="minorHAnsi"/>
                <w:sz w:val="18"/>
                <w:szCs w:val="18"/>
              </w:rPr>
              <w:t>±9,2</w:t>
            </w:r>
          </w:p>
        </w:tc>
        <w:tc>
          <w:tcPr>
            <w:tcW w:w="597" w:type="pct"/>
          </w:tcPr>
          <w:p w:rsidR="00E659A9" w:rsidRPr="0051775B" w:rsidRDefault="00E659A9" w:rsidP="001731FC">
            <w:pPr>
              <w:jc w:val="center"/>
              <w:rPr>
                <w:sz w:val="18"/>
                <w:szCs w:val="18"/>
              </w:rPr>
            </w:pPr>
            <w:r>
              <w:rPr>
                <w:sz w:val="18"/>
                <w:szCs w:val="18"/>
              </w:rPr>
              <w:t>29,9</w:t>
            </w:r>
            <w:r>
              <w:rPr>
                <w:rFonts w:cstheme="minorHAnsi"/>
                <w:sz w:val="18"/>
                <w:szCs w:val="18"/>
              </w:rPr>
              <w:t>±9,0</w:t>
            </w:r>
          </w:p>
        </w:tc>
        <w:tc>
          <w:tcPr>
            <w:tcW w:w="597" w:type="pct"/>
          </w:tcPr>
          <w:p w:rsidR="00E659A9" w:rsidRPr="0051775B" w:rsidRDefault="00E659A9" w:rsidP="001731FC">
            <w:pPr>
              <w:jc w:val="center"/>
              <w:rPr>
                <w:sz w:val="18"/>
                <w:szCs w:val="18"/>
              </w:rPr>
            </w:pPr>
            <w:r>
              <w:rPr>
                <w:sz w:val="18"/>
                <w:szCs w:val="18"/>
              </w:rPr>
              <w:t>27,4</w:t>
            </w:r>
            <w:r>
              <w:rPr>
                <w:rFonts w:cstheme="minorHAnsi"/>
                <w:sz w:val="18"/>
                <w:szCs w:val="18"/>
              </w:rPr>
              <w:t>±8,5</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 PCA ipsi.</w:t>
            </w:r>
          </w:p>
        </w:tc>
        <w:tc>
          <w:tcPr>
            <w:tcW w:w="522" w:type="pct"/>
          </w:tcPr>
          <w:p w:rsidR="00E659A9" w:rsidRPr="0051775B" w:rsidRDefault="00E659A9" w:rsidP="001731FC">
            <w:pPr>
              <w:jc w:val="center"/>
              <w:rPr>
                <w:sz w:val="18"/>
                <w:szCs w:val="18"/>
              </w:rPr>
            </w:pPr>
            <w:r>
              <w:rPr>
                <w:sz w:val="18"/>
                <w:szCs w:val="18"/>
              </w:rPr>
              <w:t>29,6</w:t>
            </w:r>
            <w:r>
              <w:rPr>
                <w:rFonts w:cstheme="minorHAnsi"/>
                <w:sz w:val="18"/>
                <w:szCs w:val="18"/>
              </w:rPr>
              <w:t>±8,5</w:t>
            </w:r>
          </w:p>
        </w:tc>
        <w:tc>
          <w:tcPr>
            <w:tcW w:w="523" w:type="pct"/>
          </w:tcPr>
          <w:p w:rsidR="00E659A9" w:rsidRPr="0051775B" w:rsidRDefault="00E659A9" w:rsidP="001731FC">
            <w:pPr>
              <w:jc w:val="center"/>
              <w:rPr>
                <w:sz w:val="18"/>
                <w:szCs w:val="18"/>
              </w:rPr>
            </w:pPr>
            <w:r>
              <w:rPr>
                <w:sz w:val="18"/>
                <w:szCs w:val="18"/>
              </w:rPr>
              <w:t>25,4</w:t>
            </w:r>
            <w:r>
              <w:rPr>
                <w:rFonts w:cstheme="minorHAnsi"/>
                <w:sz w:val="18"/>
                <w:szCs w:val="18"/>
              </w:rPr>
              <w:t>±7,2</w:t>
            </w:r>
          </w:p>
        </w:tc>
        <w:tc>
          <w:tcPr>
            <w:tcW w:w="597" w:type="pct"/>
          </w:tcPr>
          <w:p w:rsidR="00E659A9" w:rsidRPr="0051775B" w:rsidRDefault="00E659A9" w:rsidP="001731FC">
            <w:pPr>
              <w:jc w:val="center"/>
              <w:rPr>
                <w:sz w:val="18"/>
                <w:szCs w:val="18"/>
              </w:rPr>
            </w:pPr>
            <w:r>
              <w:rPr>
                <w:sz w:val="18"/>
                <w:szCs w:val="18"/>
              </w:rPr>
              <w:t>27,5</w:t>
            </w:r>
            <w:r>
              <w:rPr>
                <w:rFonts w:cstheme="minorHAnsi"/>
                <w:sz w:val="18"/>
                <w:szCs w:val="18"/>
              </w:rPr>
              <w:t>±7,5</w:t>
            </w:r>
          </w:p>
        </w:tc>
        <w:tc>
          <w:tcPr>
            <w:tcW w:w="597" w:type="pct"/>
          </w:tcPr>
          <w:p w:rsidR="00E659A9" w:rsidRPr="0051775B" w:rsidRDefault="00E659A9" w:rsidP="001731FC">
            <w:pPr>
              <w:jc w:val="center"/>
              <w:rPr>
                <w:sz w:val="18"/>
                <w:szCs w:val="18"/>
              </w:rPr>
            </w:pPr>
            <w:r>
              <w:rPr>
                <w:sz w:val="18"/>
                <w:szCs w:val="18"/>
              </w:rPr>
              <w:t>27,0</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28,9</w:t>
            </w:r>
            <w:r>
              <w:rPr>
                <w:rFonts w:cstheme="minorHAnsi"/>
                <w:sz w:val="18"/>
                <w:szCs w:val="18"/>
              </w:rPr>
              <w:t>±8,5</w:t>
            </w:r>
          </w:p>
        </w:tc>
        <w:tc>
          <w:tcPr>
            <w:tcW w:w="597" w:type="pct"/>
          </w:tcPr>
          <w:p w:rsidR="00E659A9" w:rsidRPr="0051775B" w:rsidRDefault="00E659A9" w:rsidP="001731FC">
            <w:pPr>
              <w:jc w:val="center"/>
              <w:rPr>
                <w:sz w:val="18"/>
                <w:szCs w:val="18"/>
              </w:rPr>
            </w:pPr>
            <w:r>
              <w:rPr>
                <w:sz w:val="18"/>
                <w:szCs w:val="18"/>
              </w:rPr>
              <w:t>26,6</w:t>
            </w:r>
            <w:r>
              <w:rPr>
                <w:rFonts w:cstheme="minorHAnsi"/>
                <w:sz w:val="18"/>
                <w:szCs w:val="18"/>
              </w:rPr>
              <w:t>±7,9</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0,575</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0,187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0,326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0,786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0,647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0,621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PCA cont.</w:t>
            </w:r>
          </w:p>
        </w:tc>
        <w:tc>
          <w:tcPr>
            <w:tcW w:w="522" w:type="pct"/>
          </w:tcPr>
          <w:p w:rsidR="00E659A9" w:rsidRPr="0051775B" w:rsidRDefault="00E659A9" w:rsidP="001731FC">
            <w:pPr>
              <w:jc w:val="center"/>
              <w:rPr>
                <w:sz w:val="18"/>
                <w:szCs w:val="18"/>
              </w:rPr>
            </w:pPr>
            <w:r>
              <w:rPr>
                <w:sz w:val="18"/>
                <w:szCs w:val="18"/>
              </w:rPr>
              <w:t>28,1</w:t>
            </w:r>
            <w:r>
              <w:rPr>
                <w:rFonts w:cstheme="minorHAnsi"/>
                <w:sz w:val="18"/>
                <w:szCs w:val="18"/>
              </w:rPr>
              <w:t>±10,7</w:t>
            </w:r>
          </w:p>
        </w:tc>
        <w:tc>
          <w:tcPr>
            <w:tcW w:w="523" w:type="pct"/>
          </w:tcPr>
          <w:p w:rsidR="00E659A9" w:rsidRPr="0051775B" w:rsidRDefault="00E659A9" w:rsidP="001731FC">
            <w:pPr>
              <w:jc w:val="center"/>
              <w:rPr>
                <w:sz w:val="18"/>
                <w:szCs w:val="18"/>
              </w:rPr>
            </w:pPr>
            <w:r>
              <w:rPr>
                <w:sz w:val="18"/>
                <w:szCs w:val="18"/>
              </w:rPr>
              <w:t>26,4</w:t>
            </w:r>
            <w:r>
              <w:rPr>
                <w:rFonts w:cstheme="minorHAnsi"/>
                <w:sz w:val="18"/>
                <w:szCs w:val="18"/>
              </w:rPr>
              <w:t>±7,6</w:t>
            </w:r>
          </w:p>
        </w:tc>
        <w:tc>
          <w:tcPr>
            <w:tcW w:w="597" w:type="pct"/>
          </w:tcPr>
          <w:p w:rsidR="00E659A9" w:rsidRPr="0051775B" w:rsidRDefault="00E659A9" w:rsidP="001731FC">
            <w:pPr>
              <w:jc w:val="center"/>
              <w:rPr>
                <w:sz w:val="18"/>
                <w:szCs w:val="18"/>
              </w:rPr>
            </w:pPr>
            <w:r>
              <w:rPr>
                <w:sz w:val="18"/>
                <w:szCs w:val="18"/>
              </w:rPr>
              <w:t>29,4</w:t>
            </w:r>
            <w:r>
              <w:rPr>
                <w:rFonts w:cstheme="minorHAnsi"/>
                <w:sz w:val="18"/>
                <w:szCs w:val="18"/>
              </w:rPr>
              <w:t>±8,0</w:t>
            </w:r>
          </w:p>
        </w:tc>
        <w:tc>
          <w:tcPr>
            <w:tcW w:w="597" w:type="pct"/>
          </w:tcPr>
          <w:p w:rsidR="00E659A9" w:rsidRPr="0051775B" w:rsidRDefault="00E659A9" w:rsidP="001731FC">
            <w:pPr>
              <w:jc w:val="center"/>
              <w:rPr>
                <w:sz w:val="18"/>
                <w:szCs w:val="18"/>
              </w:rPr>
            </w:pPr>
            <w:r>
              <w:rPr>
                <w:sz w:val="18"/>
                <w:szCs w:val="18"/>
              </w:rPr>
              <w:t>23,0</w:t>
            </w:r>
            <w:r>
              <w:rPr>
                <w:rFonts w:cstheme="minorHAnsi"/>
                <w:sz w:val="18"/>
                <w:szCs w:val="18"/>
              </w:rPr>
              <w:t>±9,8</w:t>
            </w:r>
          </w:p>
        </w:tc>
        <w:tc>
          <w:tcPr>
            <w:tcW w:w="597" w:type="pct"/>
          </w:tcPr>
          <w:p w:rsidR="00E659A9" w:rsidRPr="0051775B" w:rsidRDefault="00E659A9" w:rsidP="001731FC">
            <w:pPr>
              <w:jc w:val="center"/>
              <w:rPr>
                <w:sz w:val="18"/>
                <w:szCs w:val="18"/>
              </w:rPr>
            </w:pPr>
            <w:r>
              <w:rPr>
                <w:sz w:val="18"/>
                <w:szCs w:val="18"/>
              </w:rPr>
              <w:t>30,1</w:t>
            </w:r>
            <w:r>
              <w:rPr>
                <w:rFonts w:cstheme="minorHAnsi"/>
                <w:sz w:val="18"/>
                <w:szCs w:val="18"/>
              </w:rPr>
              <w:t>±10,2</w:t>
            </w:r>
          </w:p>
        </w:tc>
        <w:tc>
          <w:tcPr>
            <w:tcW w:w="597" w:type="pct"/>
          </w:tcPr>
          <w:p w:rsidR="00E659A9" w:rsidRPr="0051775B" w:rsidRDefault="00E659A9" w:rsidP="001731FC">
            <w:pPr>
              <w:jc w:val="center"/>
              <w:rPr>
                <w:sz w:val="18"/>
                <w:szCs w:val="18"/>
              </w:rPr>
            </w:pPr>
            <w:r>
              <w:rPr>
                <w:sz w:val="18"/>
                <w:szCs w:val="18"/>
              </w:rPr>
              <w:t>26,0</w:t>
            </w:r>
            <w:r>
              <w:rPr>
                <w:rFonts w:cstheme="minorHAnsi"/>
                <w:sz w:val="18"/>
                <w:szCs w:val="18"/>
              </w:rPr>
              <w:t>±8,4</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HPV)PCA cont.</w:t>
            </w:r>
          </w:p>
        </w:tc>
        <w:tc>
          <w:tcPr>
            <w:tcW w:w="522" w:type="pct"/>
          </w:tcPr>
          <w:p w:rsidR="00E659A9" w:rsidRPr="0051775B" w:rsidRDefault="00E659A9" w:rsidP="001731FC">
            <w:pPr>
              <w:jc w:val="center"/>
              <w:rPr>
                <w:sz w:val="18"/>
                <w:szCs w:val="18"/>
              </w:rPr>
            </w:pPr>
            <w:r>
              <w:rPr>
                <w:sz w:val="18"/>
                <w:szCs w:val="18"/>
              </w:rPr>
              <w:t>29,6</w:t>
            </w:r>
            <w:r>
              <w:rPr>
                <w:rFonts w:cstheme="minorHAnsi"/>
                <w:sz w:val="18"/>
                <w:szCs w:val="18"/>
              </w:rPr>
              <w:t>±9,2</w:t>
            </w:r>
          </w:p>
        </w:tc>
        <w:tc>
          <w:tcPr>
            <w:tcW w:w="523" w:type="pct"/>
          </w:tcPr>
          <w:p w:rsidR="00E659A9" w:rsidRPr="0051775B" w:rsidRDefault="00E659A9" w:rsidP="001731FC">
            <w:pPr>
              <w:jc w:val="center"/>
              <w:rPr>
                <w:sz w:val="18"/>
                <w:szCs w:val="18"/>
              </w:rPr>
            </w:pPr>
            <w:r>
              <w:rPr>
                <w:sz w:val="18"/>
                <w:szCs w:val="18"/>
              </w:rPr>
              <w:t>24,9</w:t>
            </w:r>
            <w:r>
              <w:rPr>
                <w:rFonts w:cstheme="minorHAnsi"/>
                <w:sz w:val="18"/>
                <w:szCs w:val="18"/>
              </w:rPr>
              <w:t>±</w:t>
            </w:r>
            <w:r>
              <w:rPr>
                <w:sz w:val="18"/>
                <w:szCs w:val="18"/>
              </w:rPr>
              <w:t>8,5</w:t>
            </w:r>
          </w:p>
        </w:tc>
        <w:tc>
          <w:tcPr>
            <w:tcW w:w="597" w:type="pct"/>
          </w:tcPr>
          <w:p w:rsidR="00E659A9" w:rsidRPr="0051775B" w:rsidRDefault="00E659A9" w:rsidP="001731FC">
            <w:pPr>
              <w:jc w:val="center"/>
              <w:rPr>
                <w:sz w:val="18"/>
                <w:szCs w:val="18"/>
              </w:rPr>
            </w:pPr>
            <w:r>
              <w:rPr>
                <w:sz w:val="18"/>
                <w:szCs w:val="18"/>
              </w:rPr>
              <w:t>27,7</w:t>
            </w:r>
            <w:r>
              <w:rPr>
                <w:rFonts w:cstheme="minorHAnsi"/>
                <w:sz w:val="18"/>
                <w:szCs w:val="18"/>
              </w:rPr>
              <w:t>±9,0</w:t>
            </w:r>
          </w:p>
        </w:tc>
        <w:tc>
          <w:tcPr>
            <w:tcW w:w="597" w:type="pct"/>
          </w:tcPr>
          <w:p w:rsidR="00E659A9" w:rsidRPr="0051775B" w:rsidRDefault="00E659A9" w:rsidP="001731FC">
            <w:pPr>
              <w:jc w:val="center"/>
              <w:rPr>
                <w:sz w:val="18"/>
                <w:szCs w:val="18"/>
              </w:rPr>
            </w:pPr>
            <w:r>
              <w:rPr>
                <w:sz w:val="18"/>
                <w:szCs w:val="18"/>
              </w:rPr>
              <w:t>25,9</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30,0</w:t>
            </w:r>
            <w:r>
              <w:rPr>
                <w:rFonts w:cstheme="minorHAnsi"/>
                <w:sz w:val="18"/>
                <w:szCs w:val="18"/>
              </w:rPr>
              <w:t>±8,7</w:t>
            </w:r>
          </w:p>
        </w:tc>
        <w:tc>
          <w:tcPr>
            <w:tcW w:w="597" w:type="pct"/>
          </w:tcPr>
          <w:p w:rsidR="00E659A9" w:rsidRPr="0051775B" w:rsidRDefault="00E659A9" w:rsidP="001731FC">
            <w:pPr>
              <w:jc w:val="center"/>
              <w:rPr>
                <w:sz w:val="18"/>
                <w:szCs w:val="18"/>
              </w:rPr>
            </w:pPr>
            <w:r>
              <w:rPr>
                <w:sz w:val="18"/>
                <w:szCs w:val="18"/>
              </w:rPr>
              <w:t>25,8</w:t>
            </w:r>
            <w:r>
              <w:rPr>
                <w:rFonts w:cstheme="minorHAnsi"/>
                <w:sz w:val="18"/>
                <w:szCs w:val="18"/>
              </w:rPr>
              <w:t>±9,0</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0,509</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0,424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0,254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0,991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0,897</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27,6</w:t>
            </w:r>
            <w:r>
              <w:rPr>
                <w:rFonts w:cstheme="minorHAnsi"/>
                <w:sz w:val="18"/>
                <w:szCs w:val="18"/>
              </w:rPr>
              <w:t>±8,8</w:t>
            </w:r>
          </w:p>
        </w:tc>
        <w:tc>
          <w:tcPr>
            <w:tcW w:w="523" w:type="pct"/>
          </w:tcPr>
          <w:p w:rsidR="00E659A9" w:rsidRPr="0051775B" w:rsidRDefault="00E659A9" w:rsidP="001731FC">
            <w:pPr>
              <w:jc w:val="center"/>
              <w:rPr>
                <w:sz w:val="18"/>
                <w:szCs w:val="18"/>
              </w:rPr>
            </w:pPr>
            <w:r>
              <w:rPr>
                <w:sz w:val="18"/>
                <w:szCs w:val="18"/>
              </w:rPr>
              <w:t>26,1</w:t>
            </w:r>
            <w:r>
              <w:rPr>
                <w:rFonts w:cstheme="minorHAnsi"/>
                <w:sz w:val="18"/>
                <w:szCs w:val="18"/>
              </w:rPr>
              <w:t>±7,8</w:t>
            </w:r>
          </w:p>
        </w:tc>
        <w:tc>
          <w:tcPr>
            <w:tcW w:w="597" w:type="pct"/>
          </w:tcPr>
          <w:p w:rsidR="00E659A9" w:rsidRPr="0051775B" w:rsidRDefault="00E659A9" w:rsidP="001731FC">
            <w:pPr>
              <w:jc w:val="center"/>
              <w:rPr>
                <w:sz w:val="18"/>
                <w:szCs w:val="18"/>
              </w:rPr>
            </w:pPr>
            <w:r>
              <w:rPr>
                <w:sz w:val="18"/>
                <w:szCs w:val="18"/>
              </w:rPr>
              <w:t>27,1</w:t>
            </w:r>
            <w:r>
              <w:rPr>
                <w:rFonts w:cstheme="minorHAnsi"/>
                <w:sz w:val="18"/>
                <w:szCs w:val="18"/>
              </w:rPr>
              <w:t>±8,4</w:t>
            </w:r>
          </w:p>
        </w:tc>
        <w:tc>
          <w:tcPr>
            <w:tcW w:w="597" w:type="pct"/>
          </w:tcPr>
          <w:p w:rsidR="00E659A9" w:rsidRPr="0051775B" w:rsidRDefault="00E659A9" w:rsidP="001731FC">
            <w:pPr>
              <w:jc w:val="center"/>
              <w:rPr>
                <w:sz w:val="18"/>
                <w:szCs w:val="18"/>
              </w:rPr>
            </w:pPr>
            <w:r>
              <w:rPr>
                <w:sz w:val="18"/>
                <w:szCs w:val="18"/>
              </w:rPr>
              <w:t>26,1</w:t>
            </w:r>
            <w:r>
              <w:rPr>
                <w:rFonts w:cstheme="minorHAnsi"/>
                <w:sz w:val="18"/>
                <w:szCs w:val="18"/>
              </w:rPr>
              <w:t>±8,1</w:t>
            </w:r>
          </w:p>
        </w:tc>
        <w:tc>
          <w:tcPr>
            <w:tcW w:w="597" w:type="pct"/>
          </w:tcPr>
          <w:p w:rsidR="00E659A9" w:rsidRPr="0051775B" w:rsidRDefault="00E659A9" w:rsidP="001731FC">
            <w:pPr>
              <w:jc w:val="center"/>
              <w:rPr>
                <w:sz w:val="18"/>
                <w:szCs w:val="18"/>
              </w:rPr>
            </w:pPr>
            <w:r>
              <w:rPr>
                <w:rFonts w:cstheme="minorHAnsi"/>
                <w:sz w:val="18"/>
                <w:szCs w:val="18"/>
              </w:rPr>
              <w:t>27,9±10,1</w:t>
            </w:r>
          </w:p>
        </w:tc>
        <w:tc>
          <w:tcPr>
            <w:tcW w:w="597" w:type="pct"/>
          </w:tcPr>
          <w:p w:rsidR="00E659A9" w:rsidRPr="0051775B" w:rsidRDefault="00E659A9" w:rsidP="001731FC">
            <w:pPr>
              <w:jc w:val="center"/>
              <w:rPr>
                <w:sz w:val="18"/>
                <w:szCs w:val="18"/>
              </w:rPr>
            </w:pPr>
            <w:r>
              <w:rPr>
                <w:sz w:val="18"/>
                <w:szCs w:val="18"/>
              </w:rPr>
              <w:t>26,3</w:t>
            </w:r>
            <w:r>
              <w:rPr>
                <w:rFonts w:cstheme="minorHAnsi"/>
                <w:sz w:val="18"/>
                <w:szCs w:val="18"/>
              </w:rPr>
              <w:t>±7,3</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w:t>
            </w:r>
            <w:r w:rsidRPr="0051775B">
              <w:rPr>
                <w:sz w:val="18"/>
                <w:szCs w:val="18"/>
              </w:rPr>
              <w:t xml:space="preserve"> </w:t>
            </w:r>
            <w:r>
              <w:rPr>
                <w:sz w:val="18"/>
                <w:szCs w:val="18"/>
              </w:rPr>
              <w:t>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30,9</w:t>
            </w:r>
            <w:r>
              <w:rPr>
                <w:rFonts w:cstheme="minorHAnsi"/>
                <w:sz w:val="18"/>
                <w:szCs w:val="18"/>
              </w:rPr>
              <w:t>±13,2</w:t>
            </w:r>
          </w:p>
        </w:tc>
        <w:tc>
          <w:tcPr>
            <w:tcW w:w="523" w:type="pct"/>
          </w:tcPr>
          <w:p w:rsidR="00E659A9" w:rsidRPr="0051775B" w:rsidRDefault="00E659A9" w:rsidP="001731FC">
            <w:pPr>
              <w:jc w:val="center"/>
              <w:rPr>
                <w:sz w:val="18"/>
                <w:szCs w:val="18"/>
              </w:rPr>
            </w:pPr>
            <w:r>
              <w:rPr>
                <w:sz w:val="18"/>
                <w:szCs w:val="18"/>
              </w:rPr>
              <w:t>28,4</w:t>
            </w:r>
            <w:r>
              <w:rPr>
                <w:rFonts w:cstheme="minorHAnsi"/>
                <w:sz w:val="18"/>
                <w:szCs w:val="18"/>
              </w:rPr>
              <w:t>±6,4</w:t>
            </w:r>
          </w:p>
        </w:tc>
        <w:tc>
          <w:tcPr>
            <w:tcW w:w="597" w:type="pct"/>
          </w:tcPr>
          <w:p w:rsidR="00E659A9" w:rsidRPr="0051775B" w:rsidRDefault="00E659A9" w:rsidP="001731FC">
            <w:pPr>
              <w:jc w:val="center"/>
              <w:rPr>
                <w:sz w:val="18"/>
                <w:szCs w:val="18"/>
              </w:rPr>
            </w:pPr>
            <w:r>
              <w:rPr>
                <w:sz w:val="18"/>
                <w:szCs w:val="18"/>
              </w:rPr>
              <w:t>30,5</w:t>
            </w:r>
            <w:r>
              <w:rPr>
                <w:rFonts w:cstheme="minorHAnsi"/>
                <w:sz w:val="18"/>
                <w:szCs w:val="18"/>
              </w:rPr>
              <w:t>±11,0</w:t>
            </w:r>
          </w:p>
        </w:tc>
        <w:tc>
          <w:tcPr>
            <w:tcW w:w="597" w:type="pct"/>
          </w:tcPr>
          <w:p w:rsidR="00E659A9" w:rsidRPr="0051775B" w:rsidRDefault="00E659A9" w:rsidP="001731FC">
            <w:pPr>
              <w:jc w:val="center"/>
              <w:rPr>
                <w:sz w:val="18"/>
                <w:szCs w:val="18"/>
              </w:rPr>
            </w:pPr>
            <w:r>
              <w:rPr>
                <w:sz w:val="18"/>
                <w:szCs w:val="18"/>
              </w:rPr>
              <w:t>27,6</w:t>
            </w:r>
            <w:r>
              <w:rPr>
                <w:rFonts w:cstheme="minorHAnsi"/>
                <w:sz w:val="18"/>
                <w:szCs w:val="18"/>
              </w:rPr>
              <w:t>±8,0</w:t>
            </w:r>
          </w:p>
        </w:tc>
        <w:tc>
          <w:tcPr>
            <w:tcW w:w="597" w:type="pct"/>
          </w:tcPr>
          <w:p w:rsidR="00E659A9" w:rsidRPr="0051775B" w:rsidRDefault="00E659A9" w:rsidP="001731FC">
            <w:pPr>
              <w:jc w:val="center"/>
              <w:rPr>
                <w:sz w:val="18"/>
                <w:szCs w:val="18"/>
              </w:rPr>
            </w:pPr>
            <w:r>
              <w:rPr>
                <w:sz w:val="18"/>
                <w:szCs w:val="18"/>
              </w:rPr>
              <w:t>33,5</w:t>
            </w:r>
            <w:r>
              <w:rPr>
                <w:rFonts w:cstheme="minorHAnsi"/>
                <w:sz w:val="18"/>
                <w:szCs w:val="18"/>
              </w:rPr>
              <w:t>±14,3</w:t>
            </w:r>
          </w:p>
        </w:tc>
        <w:tc>
          <w:tcPr>
            <w:tcW w:w="597" w:type="pct"/>
          </w:tcPr>
          <w:p w:rsidR="00E659A9" w:rsidRPr="0051775B" w:rsidRDefault="00E659A9" w:rsidP="001731FC">
            <w:pPr>
              <w:jc w:val="center"/>
              <w:rPr>
                <w:sz w:val="18"/>
                <w:szCs w:val="18"/>
              </w:rPr>
            </w:pPr>
            <w:r>
              <w:rPr>
                <w:sz w:val="18"/>
                <w:szCs w:val="18"/>
              </w:rPr>
              <w:t>27,7</w:t>
            </w:r>
            <w:r>
              <w:rPr>
                <w:rFonts w:cstheme="minorHAnsi"/>
                <w:sz w:val="18"/>
                <w:szCs w:val="18"/>
              </w:rPr>
              <w:t>±6,8</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0,268</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0,104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0,114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0,429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0,179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0,247</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MCA ipsil.</w:t>
            </w:r>
          </w:p>
        </w:tc>
        <w:tc>
          <w:tcPr>
            <w:tcW w:w="522" w:type="pct"/>
          </w:tcPr>
          <w:p w:rsidR="00E659A9" w:rsidRPr="0051775B" w:rsidRDefault="00E659A9" w:rsidP="001731FC">
            <w:pPr>
              <w:jc w:val="center"/>
              <w:rPr>
                <w:sz w:val="18"/>
                <w:szCs w:val="18"/>
              </w:rPr>
            </w:pPr>
            <w:r>
              <w:rPr>
                <w:sz w:val="18"/>
                <w:szCs w:val="18"/>
              </w:rPr>
              <w:t>29,0</w:t>
            </w:r>
            <w:r>
              <w:rPr>
                <w:rFonts w:cstheme="minorHAnsi"/>
                <w:sz w:val="18"/>
                <w:szCs w:val="18"/>
              </w:rPr>
              <w:t>±8,8</w:t>
            </w:r>
          </w:p>
        </w:tc>
        <w:tc>
          <w:tcPr>
            <w:tcW w:w="523" w:type="pct"/>
          </w:tcPr>
          <w:p w:rsidR="00E659A9" w:rsidRPr="0051775B" w:rsidRDefault="00E659A9" w:rsidP="001731FC">
            <w:pPr>
              <w:jc w:val="center"/>
              <w:rPr>
                <w:sz w:val="18"/>
                <w:szCs w:val="18"/>
              </w:rPr>
            </w:pPr>
            <w:r>
              <w:rPr>
                <w:sz w:val="18"/>
                <w:szCs w:val="18"/>
              </w:rPr>
              <w:t>25,8</w:t>
            </w:r>
            <w:r>
              <w:rPr>
                <w:rFonts w:cstheme="minorHAnsi"/>
                <w:sz w:val="18"/>
                <w:szCs w:val="18"/>
              </w:rPr>
              <w:t>±9,9</w:t>
            </w:r>
          </w:p>
        </w:tc>
        <w:tc>
          <w:tcPr>
            <w:tcW w:w="597" w:type="pct"/>
          </w:tcPr>
          <w:p w:rsidR="00E659A9" w:rsidRPr="0051775B" w:rsidRDefault="00E659A9" w:rsidP="001731FC">
            <w:pPr>
              <w:jc w:val="center"/>
              <w:rPr>
                <w:sz w:val="18"/>
                <w:szCs w:val="18"/>
              </w:rPr>
            </w:pPr>
            <w:r>
              <w:rPr>
                <w:sz w:val="18"/>
                <w:szCs w:val="18"/>
              </w:rPr>
              <w:t>27,7</w:t>
            </w:r>
            <w:r>
              <w:rPr>
                <w:rFonts w:cstheme="minorHAnsi"/>
                <w:sz w:val="18"/>
                <w:szCs w:val="18"/>
              </w:rPr>
              <w:t>±8,9</w:t>
            </w:r>
          </w:p>
        </w:tc>
        <w:tc>
          <w:tcPr>
            <w:tcW w:w="597" w:type="pct"/>
          </w:tcPr>
          <w:p w:rsidR="00E659A9" w:rsidRPr="0051775B" w:rsidRDefault="00E659A9" w:rsidP="001731FC">
            <w:pPr>
              <w:jc w:val="center"/>
              <w:rPr>
                <w:sz w:val="18"/>
                <w:szCs w:val="18"/>
              </w:rPr>
            </w:pPr>
            <w:r>
              <w:rPr>
                <w:sz w:val="18"/>
                <w:szCs w:val="18"/>
              </w:rPr>
              <w:t>26,5</w:t>
            </w:r>
            <w:r>
              <w:rPr>
                <w:rFonts w:cstheme="minorHAnsi"/>
                <w:sz w:val="18"/>
                <w:szCs w:val="18"/>
              </w:rPr>
              <w:t>±10,7</w:t>
            </w:r>
          </w:p>
        </w:tc>
        <w:tc>
          <w:tcPr>
            <w:tcW w:w="597" w:type="pct"/>
          </w:tcPr>
          <w:p w:rsidR="00E659A9" w:rsidRPr="0051775B" w:rsidRDefault="00E659A9" w:rsidP="001731FC">
            <w:pPr>
              <w:jc w:val="center"/>
              <w:rPr>
                <w:sz w:val="18"/>
                <w:szCs w:val="18"/>
              </w:rPr>
            </w:pPr>
            <w:r>
              <w:rPr>
                <w:sz w:val="18"/>
                <w:szCs w:val="18"/>
              </w:rPr>
              <w:t>29,4</w:t>
            </w:r>
            <w:r>
              <w:rPr>
                <w:rFonts w:cstheme="minorHAnsi"/>
                <w:sz w:val="18"/>
                <w:szCs w:val="18"/>
              </w:rPr>
              <w:t>±10,0</w:t>
            </w:r>
          </w:p>
        </w:tc>
        <w:tc>
          <w:tcPr>
            <w:tcW w:w="597" w:type="pct"/>
          </w:tcPr>
          <w:p w:rsidR="00E659A9" w:rsidRPr="0051775B" w:rsidRDefault="00E659A9" w:rsidP="001731FC">
            <w:pPr>
              <w:jc w:val="center"/>
              <w:rPr>
                <w:sz w:val="18"/>
                <w:szCs w:val="18"/>
              </w:rPr>
            </w:pPr>
            <w:r>
              <w:rPr>
                <w:sz w:val="18"/>
                <w:szCs w:val="18"/>
              </w:rPr>
              <w:t>26,3</w:t>
            </w:r>
            <w:r>
              <w:rPr>
                <w:rFonts w:cstheme="minorHAnsi"/>
                <w:sz w:val="18"/>
                <w:szCs w:val="18"/>
              </w:rPr>
              <w:t>±9,2</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 MCA ips.</w:t>
            </w:r>
          </w:p>
        </w:tc>
        <w:tc>
          <w:tcPr>
            <w:tcW w:w="522" w:type="pct"/>
          </w:tcPr>
          <w:p w:rsidR="00E659A9" w:rsidRPr="0051775B" w:rsidRDefault="00E659A9" w:rsidP="001731FC">
            <w:pPr>
              <w:jc w:val="center"/>
              <w:rPr>
                <w:sz w:val="18"/>
                <w:szCs w:val="18"/>
              </w:rPr>
            </w:pPr>
            <w:r>
              <w:rPr>
                <w:sz w:val="18"/>
                <w:szCs w:val="18"/>
              </w:rPr>
              <w:t>28,0</w:t>
            </w:r>
            <w:r>
              <w:rPr>
                <w:rFonts w:cstheme="minorHAnsi"/>
                <w:sz w:val="18"/>
                <w:szCs w:val="18"/>
              </w:rPr>
              <w:t>±9,6</w:t>
            </w:r>
          </w:p>
        </w:tc>
        <w:tc>
          <w:tcPr>
            <w:tcW w:w="523" w:type="pct"/>
          </w:tcPr>
          <w:p w:rsidR="00E659A9" w:rsidRPr="0051775B" w:rsidRDefault="00E659A9" w:rsidP="001731FC">
            <w:pPr>
              <w:jc w:val="center"/>
              <w:rPr>
                <w:sz w:val="18"/>
                <w:szCs w:val="18"/>
              </w:rPr>
            </w:pPr>
            <w:r>
              <w:rPr>
                <w:sz w:val="18"/>
                <w:szCs w:val="18"/>
              </w:rPr>
              <w:t>28,8</w:t>
            </w:r>
            <w:r>
              <w:rPr>
                <w:rFonts w:cstheme="minorHAnsi"/>
                <w:sz w:val="18"/>
                <w:szCs w:val="18"/>
              </w:rPr>
              <w:t>±7,1</w:t>
            </w:r>
          </w:p>
        </w:tc>
        <w:tc>
          <w:tcPr>
            <w:tcW w:w="597" w:type="pct"/>
          </w:tcPr>
          <w:p w:rsidR="00E659A9" w:rsidRPr="0051775B" w:rsidRDefault="00E659A9" w:rsidP="001731FC">
            <w:pPr>
              <w:jc w:val="center"/>
              <w:rPr>
                <w:sz w:val="18"/>
                <w:szCs w:val="18"/>
              </w:rPr>
            </w:pPr>
            <w:r>
              <w:rPr>
                <w:sz w:val="18"/>
                <w:szCs w:val="18"/>
              </w:rPr>
              <w:t>28,3</w:t>
            </w:r>
            <w:r>
              <w:rPr>
                <w:rFonts w:cstheme="minorHAnsi"/>
                <w:sz w:val="18"/>
                <w:szCs w:val="18"/>
              </w:rPr>
              <w:t>±8,3</w:t>
            </w:r>
          </w:p>
        </w:tc>
        <w:tc>
          <w:tcPr>
            <w:tcW w:w="597" w:type="pct"/>
          </w:tcPr>
          <w:p w:rsidR="00E659A9" w:rsidRPr="0051775B" w:rsidRDefault="00E659A9" w:rsidP="001731FC">
            <w:pPr>
              <w:jc w:val="center"/>
              <w:rPr>
                <w:sz w:val="18"/>
                <w:szCs w:val="18"/>
              </w:rPr>
            </w:pPr>
            <w:r>
              <w:rPr>
                <w:sz w:val="18"/>
                <w:szCs w:val="18"/>
              </w:rPr>
              <w:t>28,5</w:t>
            </w:r>
            <w:r>
              <w:rPr>
                <w:rFonts w:cstheme="minorHAnsi"/>
                <w:sz w:val="18"/>
                <w:szCs w:val="18"/>
              </w:rPr>
              <w:t>±8,9</w:t>
            </w:r>
          </w:p>
        </w:tc>
        <w:tc>
          <w:tcPr>
            <w:tcW w:w="597" w:type="pct"/>
          </w:tcPr>
          <w:p w:rsidR="00E659A9" w:rsidRPr="0051775B" w:rsidRDefault="00E659A9" w:rsidP="001731FC">
            <w:pPr>
              <w:jc w:val="center"/>
              <w:rPr>
                <w:sz w:val="18"/>
                <w:szCs w:val="18"/>
              </w:rPr>
            </w:pPr>
            <w:r>
              <w:rPr>
                <w:sz w:val="18"/>
                <w:szCs w:val="18"/>
              </w:rPr>
              <w:t>29,4</w:t>
            </w:r>
            <w:r>
              <w:rPr>
                <w:rFonts w:cstheme="minorHAnsi"/>
                <w:sz w:val="18"/>
                <w:szCs w:val="18"/>
              </w:rPr>
              <w:t>±10,2</w:t>
            </w:r>
          </w:p>
        </w:tc>
        <w:tc>
          <w:tcPr>
            <w:tcW w:w="597" w:type="pct"/>
          </w:tcPr>
          <w:p w:rsidR="00E659A9" w:rsidRPr="0051775B" w:rsidRDefault="00E659A9" w:rsidP="001731FC">
            <w:pPr>
              <w:jc w:val="center"/>
              <w:rPr>
                <w:sz w:val="18"/>
                <w:szCs w:val="18"/>
              </w:rPr>
            </w:pPr>
            <w:r>
              <w:rPr>
                <w:sz w:val="18"/>
                <w:szCs w:val="18"/>
              </w:rPr>
              <w:t>27,9</w:t>
            </w:r>
            <w:r>
              <w:rPr>
                <w:rFonts w:cstheme="minorHAnsi"/>
                <w:sz w:val="18"/>
                <w:szCs w:val="18"/>
              </w:rPr>
              <w:t>±7,6</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0,535</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0,115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0,624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0,452</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0,974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0,291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MCA con.</w:t>
            </w:r>
          </w:p>
        </w:tc>
        <w:tc>
          <w:tcPr>
            <w:tcW w:w="522" w:type="pct"/>
          </w:tcPr>
          <w:p w:rsidR="00E659A9" w:rsidRPr="0051775B" w:rsidRDefault="00E659A9" w:rsidP="001731FC">
            <w:pPr>
              <w:jc w:val="center"/>
              <w:rPr>
                <w:sz w:val="18"/>
                <w:szCs w:val="18"/>
              </w:rPr>
            </w:pPr>
            <w:r>
              <w:rPr>
                <w:sz w:val="18"/>
                <w:szCs w:val="18"/>
              </w:rPr>
              <w:t>27,3</w:t>
            </w:r>
            <w:r>
              <w:rPr>
                <w:rFonts w:cstheme="minorHAnsi"/>
                <w:sz w:val="18"/>
                <w:szCs w:val="18"/>
              </w:rPr>
              <w:t>±9,2</w:t>
            </w:r>
          </w:p>
        </w:tc>
        <w:tc>
          <w:tcPr>
            <w:tcW w:w="523" w:type="pct"/>
          </w:tcPr>
          <w:p w:rsidR="00E659A9" w:rsidRPr="0051775B" w:rsidRDefault="00E659A9" w:rsidP="001731FC">
            <w:pPr>
              <w:jc w:val="center"/>
              <w:rPr>
                <w:sz w:val="18"/>
                <w:szCs w:val="18"/>
              </w:rPr>
            </w:pPr>
            <w:r>
              <w:rPr>
                <w:sz w:val="18"/>
                <w:szCs w:val="18"/>
              </w:rPr>
              <w:t>26,2</w:t>
            </w:r>
            <w:r>
              <w:rPr>
                <w:rFonts w:cstheme="minorHAnsi"/>
                <w:sz w:val="18"/>
                <w:szCs w:val="18"/>
              </w:rPr>
              <w:t>±7,0</w:t>
            </w:r>
          </w:p>
        </w:tc>
        <w:tc>
          <w:tcPr>
            <w:tcW w:w="597" w:type="pct"/>
          </w:tcPr>
          <w:p w:rsidR="00E659A9" w:rsidRPr="0051775B" w:rsidRDefault="00E659A9" w:rsidP="001731FC">
            <w:pPr>
              <w:jc w:val="center"/>
              <w:rPr>
                <w:sz w:val="18"/>
                <w:szCs w:val="18"/>
              </w:rPr>
            </w:pPr>
            <w:r>
              <w:rPr>
                <w:sz w:val="18"/>
                <w:szCs w:val="18"/>
              </w:rPr>
              <w:t>27,2</w:t>
            </w:r>
            <w:r>
              <w:rPr>
                <w:rFonts w:cstheme="minorHAnsi"/>
                <w:sz w:val="18"/>
                <w:szCs w:val="18"/>
              </w:rPr>
              <w:t>±8,5</w:t>
            </w:r>
          </w:p>
        </w:tc>
        <w:tc>
          <w:tcPr>
            <w:tcW w:w="597" w:type="pct"/>
          </w:tcPr>
          <w:p w:rsidR="00E659A9" w:rsidRPr="0051775B" w:rsidRDefault="00E659A9" w:rsidP="001731FC">
            <w:pPr>
              <w:jc w:val="center"/>
              <w:rPr>
                <w:sz w:val="18"/>
                <w:szCs w:val="18"/>
              </w:rPr>
            </w:pPr>
            <w:r>
              <w:rPr>
                <w:sz w:val="18"/>
                <w:szCs w:val="18"/>
              </w:rPr>
              <w:t>25,8</w:t>
            </w:r>
            <w:r>
              <w:rPr>
                <w:rFonts w:cstheme="minorHAnsi"/>
                <w:sz w:val="18"/>
                <w:szCs w:val="18"/>
              </w:rPr>
              <w:t>±6,9</w:t>
            </w:r>
          </w:p>
        </w:tc>
        <w:tc>
          <w:tcPr>
            <w:tcW w:w="597" w:type="pct"/>
          </w:tcPr>
          <w:p w:rsidR="00E659A9" w:rsidRPr="0051775B" w:rsidRDefault="00E659A9" w:rsidP="001731FC">
            <w:pPr>
              <w:jc w:val="center"/>
              <w:rPr>
                <w:sz w:val="18"/>
                <w:szCs w:val="18"/>
              </w:rPr>
            </w:pPr>
            <w:r>
              <w:rPr>
                <w:sz w:val="18"/>
                <w:szCs w:val="18"/>
              </w:rPr>
              <w:t>28,1</w:t>
            </w:r>
            <w:r>
              <w:rPr>
                <w:rFonts w:cstheme="minorHAnsi"/>
                <w:sz w:val="18"/>
                <w:szCs w:val="18"/>
              </w:rPr>
              <w:t>±10,7</w:t>
            </w:r>
          </w:p>
        </w:tc>
        <w:tc>
          <w:tcPr>
            <w:tcW w:w="597" w:type="pct"/>
          </w:tcPr>
          <w:p w:rsidR="00E659A9" w:rsidRPr="0051775B" w:rsidRDefault="00E659A9" w:rsidP="001731FC">
            <w:pPr>
              <w:jc w:val="center"/>
              <w:rPr>
                <w:sz w:val="18"/>
                <w:szCs w:val="18"/>
              </w:rPr>
            </w:pPr>
            <w:r>
              <w:rPr>
                <w:sz w:val="18"/>
                <w:szCs w:val="18"/>
              </w:rPr>
              <w:t>26,1</w:t>
            </w:r>
            <w:r>
              <w:rPr>
                <w:rFonts w:cstheme="minorHAnsi"/>
                <w:sz w:val="18"/>
                <w:szCs w:val="18"/>
              </w:rPr>
              <w:t>±6,6</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HPV%</w:t>
            </w:r>
            <w:r>
              <w:rPr>
                <w:sz w:val="18"/>
                <w:szCs w:val="18"/>
              </w:rPr>
              <w:sym w:font="Symbol" w:char="F0AF"/>
            </w:r>
            <w:r>
              <w:rPr>
                <w:sz w:val="18"/>
                <w:szCs w:val="18"/>
              </w:rPr>
              <w:t xml:space="preserve"> MCA con.</w:t>
            </w:r>
          </w:p>
        </w:tc>
        <w:tc>
          <w:tcPr>
            <w:tcW w:w="522" w:type="pct"/>
          </w:tcPr>
          <w:p w:rsidR="00E659A9" w:rsidRPr="0051775B" w:rsidRDefault="00E659A9" w:rsidP="001731FC">
            <w:pPr>
              <w:jc w:val="center"/>
              <w:rPr>
                <w:sz w:val="18"/>
                <w:szCs w:val="18"/>
              </w:rPr>
            </w:pPr>
            <w:r>
              <w:rPr>
                <w:sz w:val="18"/>
                <w:szCs w:val="18"/>
              </w:rPr>
              <w:t>28,0</w:t>
            </w:r>
            <w:r>
              <w:rPr>
                <w:rFonts w:cstheme="minorHAnsi"/>
                <w:sz w:val="18"/>
                <w:szCs w:val="18"/>
              </w:rPr>
              <w:t>±9,9</w:t>
            </w:r>
          </w:p>
        </w:tc>
        <w:tc>
          <w:tcPr>
            <w:tcW w:w="523" w:type="pct"/>
          </w:tcPr>
          <w:p w:rsidR="00E659A9" w:rsidRPr="0051775B" w:rsidRDefault="00E659A9" w:rsidP="001731FC">
            <w:pPr>
              <w:jc w:val="center"/>
              <w:rPr>
                <w:sz w:val="18"/>
                <w:szCs w:val="18"/>
              </w:rPr>
            </w:pPr>
            <w:r>
              <w:rPr>
                <w:sz w:val="18"/>
                <w:szCs w:val="18"/>
              </w:rPr>
              <w:t>27,4</w:t>
            </w:r>
            <w:r>
              <w:rPr>
                <w:rFonts w:cstheme="minorHAnsi"/>
                <w:sz w:val="18"/>
                <w:szCs w:val="18"/>
              </w:rPr>
              <w:t>±6,5</w:t>
            </w:r>
          </w:p>
        </w:tc>
        <w:tc>
          <w:tcPr>
            <w:tcW w:w="597" w:type="pct"/>
          </w:tcPr>
          <w:p w:rsidR="00E659A9" w:rsidRPr="0051775B" w:rsidRDefault="00E659A9" w:rsidP="001731FC">
            <w:pPr>
              <w:jc w:val="center"/>
              <w:rPr>
                <w:sz w:val="18"/>
                <w:szCs w:val="18"/>
              </w:rPr>
            </w:pPr>
            <w:r>
              <w:rPr>
                <w:sz w:val="18"/>
                <w:szCs w:val="18"/>
              </w:rPr>
              <w:t>28,7</w:t>
            </w:r>
            <w:r>
              <w:rPr>
                <w:rFonts w:cstheme="minorHAnsi"/>
                <w:sz w:val="18"/>
                <w:szCs w:val="18"/>
              </w:rPr>
              <w:t>±6,9</w:t>
            </w:r>
          </w:p>
        </w:tc>
        <w:tc>
          <w:tcPr>
            <w:tcW w:w="597" w:type="pct"/>
          </w:tcPr>
          <w:p w:rsidR="00E659A9" w:rsidRPr="0051775B" w:rsidRDefault="00E659A9" w:rsidP="001731FC">
            <w:pPr>
              <w:jc w:val="center"/>
              <w:rPr>
                <w:sz w:val="18"/>
                <w:szCs w:val="18"/>
              </w:rPr>
            </w:pPr>
            <w:r>
              <w:rPr>
                <w:sz w:val="18"/>
                <w:szCs w:val="18"/>
              </w:rPr>
              <w:t>26,7</w:t>
            </w:r>
            <w:r>
              <w:rPr>
                <w:rFonts w:cstheme="minorHAnsi"/>
                <w:sz w:val="18"/>
                <w:szCs w:val="18"/>
              </w:rPr>
              <w:t>±7,5</w:t>
            </w:r>
          </w:p>
        </w:tc>
        <w:tc>
          <w:tcPr>
            <w:tcW w:w="597" w:type="pct"/>
          </w:tcPr>
          <w:p w:rsidR="00E659A9" w:rsidRPr="0051775B" w:rsidRDefault="00E659A9" w:rsidP="001731FC">
            <w:pPr>
              <w:jc w:val="center"/>
              <w:rPr>
                <w:sz w:val="18"/>
                <w:szCs w:val="18"/>
              </w:rPr>
            </w:pPr>
            <w:r>
              <w:rPr>
                <w:sz w:val="18"/>
                <w:szCs w:val="18"/>
              </w:rPr>
              <w:t>20,7</w:t>
            </w:r>
            <w:r>
              <w:rPr>
                <w:rFonts w:cstheme="minorHAnsi"/>
                <w:sz w:val="18"/>
                <w:szCs w:val="18"/>
              </w:rPr>
              <w:t>±7,6</w:t>
            </w:r>
          </w:p>
        </w:tc>
        <w:tc>
          <w:tcPr>
            <w:tcW w:w="597" w:type="pct"/>
          </w:tcPr>
          <w:p w:rsidR="00E659A9" w:rsidRPr="0051775B" w:rsidRDefault="00E659A9" w:rsidP="001731FC">
            <w:pPr>
              <w:jc w:val="center"/>
              <w:rPr>
                <w:sz w:val="18"/>
                <w:szCs w:val="18"/>
              </w:rPr>
            </w:pPr>
            <w:r>
              <w:rPr>
                <w:sz w:val="18"/>
                <w:szCs w:val="18"/>
              </w:rPr>
              <w:t>26,9</w:t>
            </w:r>
            <w:r>
              <w:rPr>
                <w:rFonts w:cstheme="minorHAnsi"/>
                <w:sz w:val="18"/>
                <w:szCs w:val="18"/>
              </w:rPr>
              <w:t>±6,7</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0,414</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0,345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0,278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0,541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0,221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0,488</w:t>
            </w:r>
          </w:p>
        </w:tc>
      </w:tr>
      <w:tr w:rsidR="00E659A9" w:rsidRPr="0051775B" w:rsidTr="009E5AE5">
        <w:tc>
          <w:tcPr>
            <w:tcW w:w="1565" w:type="pct"/>
          </w:tcPr>
          <w:p w:rsidR="00E659A9" w:rsidRDefault="00E659A9" w:rsidP="001731FC">
            <w:pPr>
              <w:rPr>
                <w:sz w:val="18"/>
                <w:szCs w:val="18"/>
              </w:rPr>
            </w:pPr>
            <w:r>
              <w:rPr>
                <w:sz w:val="18"/>
                <w:szCs w:val="18"/>
              </w:rPr>
              <w:t>PRE-BUBBLE-PCA-HPV plato time</w:t>
            </w:r>
          </w:p>
        </w:tc>
        <w:tc>
          <w:tcPr>
            <w:tcW w:w="522" w:type="pct"/>
          </w:tcPr>
          <w:p w:rsidR="00E659A9" w:rsidRDefault="00E659A9" w:rsidP="001731FC">
            <w:pPr>
              <w:jc w:val="center"/>
              <w:rPr>
                <w:sz w:val="18"/>
                <w:szCs w:val="18"/>
              </w:rPr>
            </w:pPr>
            <w:r>
              <w:rPr>
                <w:sz w:val="18"/>
                <w:szCs w:val="18"/>
              </w:rPr>
              <w:t>15,6</w:t>
            </w:r>
            <w:r>
              <w:rPr>
                <w:rFonts w:cstheme="minorHAnsi"/>
                <w:sz w:val="18"/>
                <w:szCs w:val="18"/>
              </w:rPr>
              <w:t>±4,0</w:t>
            </w:r>
          </w:p>
        </w:tc>
        <w:tc>
          <w:tcPr>
            <w:tcW w:w="523" w:type="pct"/>
          </w:tcPr>
          <w:p w:rsidR="00E659A9" w:rsidRPr="0051775B" w:rsidRDefault="00E659A9" w:rsidP="001731FC">
            <w:pPr>
              <w:jc w:val="center"/>
              <w:rPr>
                <w:sz w:val="18"/>
                <w:szCs w:val="18"/>
              </w:rPr>
            </w:pPr>
            <w:r>
              <w:rPr>
                <w:sz w:val="18"/>
                <w:szCs w:val="18"/>
              </w:rPr>
              <w:t>15,6</w:t>
            </w:r>
            <w:r>
              <w:rPr>
                <w:rFonts w:cstheme="minorHAnsi"/>
                <w:sz w:val="18"/>
                <w:szCs w:val="18"/>
              </w:rPr>
              <w:t>±3,2</w:t>
            </w:r>
          </w:p>
        </w:tc>
        <w:tc>
          <w:tcPr>
            <w:tcW w:w="597" w:type="pct"/>
          </w:tcPr>
          <w:p w:rsidR="00E659A9" w:rsidRPr="0051775B" w:rsidRDefault="00E659A9" w:rsidP="001731FC">
            <w:pPr>
              <w:jc w:val="center"/>
              <w:rPr>
                <w:sz w:val="18"/>
                <w:szCs w:val="18"/>
              </w:rPr>
            </w:pPr>
            <w:r>
              <w:rPr>
                <w:sz w:val="18"/>
                <w:szCs w:val="18"/>
              </w:rPr>
              <w:t>15,5</w:t>
            </w:r>
            <w:r>
              <w:rPr>
                <w:rFonts w:cstheme="minorHAnsi"/>
                <w:sz w:val="18"/>
                <w:szCs w:val="18"/>
              </w:rPr>
              <w:t>±3,6</w:t>
            </w:r>
          </w:p>
        </w:tc>
        <w:tc>
          <w:tcPr>
            <w:tcW w:w="597" w:type="pct"/>
          </w:tcPr>
          <w:p w:rsidR="00E659A9" w:rsidRPr="0051775B" w:rsidRDefault="00E659A9" w:rsidP="001731FC">
            <w:pPr>
              <w:jc w:val="center"/>
              <w:rPr>
                <w:sz w:val="18"/>
                <w:szCs w:val="18"/>
              </w:rPr>
            </w:pPr>
            <w:r>
              <w:rPr>
                <w:sz w:val="18"/>
                <w:szCs w:val="18"/>
              </w:rPr>
              <w:t>16,0</w:t>
            </w:r>
            <w:r>
              <w:rPr>
                <w:rFonts w:cstheme="minorHAnsi"/>
                <w:sz w:val="18"/>
                <w:szCs w:val="18"/>
              </w:rPr>
              <w:t>±3,7</w:t>
            </w:r>
          </w:p>
        </w:tc>
        <w:tc>
          <w:tcPr>
            <w:tcW w:w="597" w:type="pct"/>
          </w:tcPr>
          <w:p w:rsidR="00E659A9" w:rsidRPr="0051775B" w:rsidRDefault="00E659A9" w:rsidP="001731FC">
            <w:pPr>
              <w:jc w:val="center"/>
              <w:rPr>
                <w:sz w:val="18"/>
                <w:szCs w:val="18"/>
              </w:rPr>
            </w:pPr>
            <w:r>
              <w:rPr>
                <w:sz w:val="18"/>
                <w:szCs w:val="18"/>
              </w:rPr>
              <w:t>15,2</w:t>
            </w:r>
            <w:r>
              <w:rPr>
                <w:rFonts w:cstheme="minorHAnsi"/>
                <w:sz w:val="18"/>
                <w:szCs w:val="18"/>
              </w:rPr>
              <w:t>±4,2</w:t>
            </w:r>
          </w:p>
        </w:tc>
        <w:tc>
          <w:tcPr>
            <w:tcW w:w="597" w:type="pct"/>
          </w:tcPr>
          <w:p w:rsidR="00E659A9" w:rsidRPr="0051775B" w:rsidRDefault="00E659A9" w:rsidP="001731FC">
            <w:pPr>
              <w:jc w:val="center"/>
              <w:rPr>
                <w:sz w:val="18"/>
                <w:szCs w:val="18"/>
              </w:rPr>
            </w:pPr>
            <w:r>
              <w:rPr>
                <w:sz w:val="18"/>
                <w:szCs w:val="18"/>
              </w:rPr>
              <w:t>16,0</w:t>
            </w:r>
            <w:r>
              <w:rPr>
                <w:rFonts w:cstheme="minorHAnsi"/>
                <w:sz w:val="18"/>
                <w:szCs w:val="18"/>
              </w:rPr>
              <w:t>±3,3</w:t>
            </w:r>
          </w:p>
        </w:tc>
      </w:tr>
      <w:tr w:rsidR="00E659A9" w:rsidRPr="0051775B" w:rsidTr="009E5AE5">
        <w:tc>
          <w:tcPr>
            <w:tcW w:w="1565" w:type="pct"/>
          </w:tcPr>
          <w:p w:rsidR="00E659A9" w:rsidRDefault="00E659A9" w:rsidP="001731FC">
            <w:pPr>
              <w:rPr>
                <w:sz w:val="18"/>
                <w:szCs w:val="18"/>
              </w:rPr>
            </w:pPr>
            <w:r>
              <w:rPr>
                <w:sz w:val="18"/>
                <w:szCs w:val="18"/>
              </w:rPr>
              <w:t>POST-BUBBLE-PCA-HPV plato time</w:t>
            </w:r>
          </w:p>
        </w:tc>
        <w:tc>
          <w:tcPr>
            <w:tcW w:w="522" w:type="pct"/>
          </w:tcPr>
          <w:p w:rsidR="00E659A9" w:rsidRDefault="00E659A9" w:rsidP="001731FC">
            <w:pPr>
              <w:jc w:val="center"/>
              <w:rPr>
                <w:sz w:val="18"/>
                <w:szCs w:val="18"/>
              </w:rPr>
            </w:pPr>
            <w:r>
              <w:rPr>
                <w:sz w:val="18"/>
                <w:szCs w:val="18"/>
              </w:rPr>
              <w:t>17,1</w:t>
            </w:r>
            <w:r>
              <w:rPr>
                <w:rFonts w:cstheme="minorHAnsi"/>
                <w:sz w:val="18"/>
                <w:szCs w:val="18"/>
              </w:rPr>
              <w:t>±2,8</w:t>
            </w:r>
          </w:p>
        </w:tc>
        <w:tc>
          <w:tcPr>
            <w:tcW w:w="523" w:type="pct"/>
          </w:tcPr>
          <w:p w:rsidR="00E659A9" w:rsidRPr="0051775B" w:rsidRDefault="00E659A9" w:rsidP="001731FC">
            <w:pPr>
              <w:jc w:val="center"/>
              <w:rPr>
                <w:sz w:val="18"/>
                <w:szCs w:val="18"/>
              </w:rPr>
            </w:pPr>
            <w:r>
              <w:rPr>
                <w:sz w:val="18"/>
                <w:szCs w:val="18"/>
              </w:rPr>
              <w:t>16,9</w:t>
            </w:r>
            <w:r>
              <w:rPr>
                <w:rFonts w:cstheme="minorHAnsi"/>
                <w:sz w:val="18"/>
                <w:szCs w:val="18"/>
              </w:rPr>
              <w:t>±4,2</w:t>
            </w:r>
          </w:p>
        </w:tc>
        <w:tc>
          <w:tcPr>
            <w:tcW w:w="597" w:type="pct"/>
          </w:tcPr>
          <w:p w:rsidR="00E659A9" w:rsidRPr="0051775B" w:rsidRDefault="00E659A9" w:rsidP="001731FC">
            <w:pPr>
              <w:jc w:val="center"/>
              <w:rPr>
                <w:sz w:val="18"/>
                <w:szCs w:val="18"/>
              </w:rPr>
            </w:pPr>
            <w:r>
              <w:rPr>
                <w:sz w:val="18"/>
                <w:szCs w:val="18"/>
              </w:rPr>
              <w:t>16,7</w:t>
            </w:r>
            <w:r>
              <w:rPr>
                <w:rFonts w:cstheme="minorHAnsi"/>
                <w:sz w:val="18"/>
                <w:szCs w:val="18"/>
              </w:rPr>
              <w:t>±3,7</w:t>
            </w:r>
          </w:p>
        </w:tc>
        <w:tc>
          <w:tcPr>
            <w:tcW w:w="597" w:type="pct"/>
          </w:tcPr>
          <w:p w:rsidR="00E659A9" w:rsidRPr="0051775B" w:rsidRDefault="00E659A9" w:rsidP="001731FC">
            <w:pPr>
              <w:jc w:val="center"/>
              <w:rPr>
                <w:sz w:val="18"/>
                <w:szCs w:val="18"/>
              </w:rPr>
            </w:pPr>
            <w:r>
              <w:rPr>
                <w:sz w:val="18"/>
                <w:szCs w:val="18"/>
              </w:rPr>
              <w:t>17,6</w:t>
            </w:r>
            <w:r>
              <w:rPr>
                <w:rFonts w:cstheme="minorHAnsi"/>
                <w:sz w:val="18"/>
                <w:szCs w:val="18"/>
              </w:rPr>
              <w:t>±3,3</w:t>
            </w:r>
          </w:p>
        </w:tc>
        <w:tc>
          <w:tcPr>
            <w:tcW w:w="597" w:type="pct"/>
          </w:tcPr>
          <w:p w:rsidR="00E659A9" w:rsidRPr="0051775B" w:rsidRDefault="00E659A9" w:rsidP="001731FC">
            <w:pPr>
              <w:jc w:val="center"/>
              <w:rPr>
                <w:sz w:val="18"/>
                <w:szCs w:val="18"/>
              </w:rPr>
            </w:pPr>
            <w:r>
              <w:rPr>
                <w:sz w:val="18"/>
                <w:szCs w:val="18"/>
              </w:rPr>
              <w:t>17,1</w:t>
            </w:r>
            <w:r>
              <w:rPr>
                <w:rFonts w:cstheme="minorHAnsi"/>
                <w:sz w:val="18"/>
                <w:szCs w:val="18"/>
              </w:rPr>
              <w:t>±2,8</w:t>
            </w:r>
          </w:p>
        </w:tc>
        <w:tc>
          <w:tcPr>
            <w:tcW w:w="597" w:type="pct"/>
          </w:tcPr>
          <w:p w:rsidR="00E659A9" w:rsidRPr="0051775B" w:rsidRDefault="00E659A9" w:rsidP="001731FC">
            <w:pPr>
              <w:jc w:val="center"/>
              <w:rPr>
                <w:sz w:val="18"/>
                <w:szCs w:val="18"/>
              </w:rPr>
            </w:pPr>
            <w:r>
              <w:rPr>
                <w:sz w:val="18"/>
                <w:szCs w:val="18"/>
              </w:rPr>
              <w:t>17,0</w:t>
            </w:r>
            <w:r>
              <w:rPr>
                <w:rFonts w:cstheme="minorHAnsi"/>
                <w:sz w:val="18"/>
                <w:szCs w:val="18"/>
              </w:rPr>
              <w:t>±3,8</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2F2F2" w:themeFill="background1" w:themeFillShade="F2"/>
          </w:tcPr>
          <w:p w:rsidR="00E659A9" w:rsidRDefault="00E659A9" w:rsidP="001731FC">
            <w:pPr>
              <w:rPr>
                <w:sz w:val="18"/>
                <w:szCs w:val="18"/>
              </w:rPr>
            </w:pPr>
            <w:r>
              <w:rPr>
                <w:sz w:val="18"/>
                <w:szCs w:val="18"/>
              </w:rPr>
              <w:t>P</w:t>
            </w:r>
          </w:p>
        </w:tc>
        <w:tc>
          <w:tcPr>
            <w:tcW w:w="522" w:type="pct"/>
            <w:shd w:val="clear" w:color="auto" w:fill="F2F2F2" w:themeFill="background1" w:themeFillShade="F2"/>
          </w:tcPr>
          <w:p w:rsidR="00E659A9" w:rsidRDefault="00E659A9" w:rsidP="001731FC">
            <w:pPr>
              <w:jc w:val="center"/>
              <w:rPr>
                <w:sz w:val="18"/>
                <w:szCs w:val="18"/>
              </w:rPr>
            </w:pPr>
            <w:r>
              <w:rPr>
                <w:sz w:val="18"/>
                <w:szCs w:val="18"/>
              </w:rPr>
              <w:t>0,141</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0,150</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0,161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0,112</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0,116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0,163</w:t>
            </w:r>
          </w:p>
        </w:tc>
      </w:tr>
      <w:tr w:rsidR="00E659A9" w:rsidRPr="0051775B" w:rsidTr="009E5AE5">
        <w:tc>
          <w:tcPr>
            <w:tcW w:w="1565" w:type="pct"/>
          </w:tcPr>
          <w:p w:rsidR="00E659A9" w:rsidRDefault="00E659A9" w:rsidP="001731FC">
            <w:pPr>
              <w:rPr>
                <w:sz w:val="18"/>
                <w:szCs w:val="18"/>
              </w:rPr>
            </w:pPr>
            <w:r>
              <w:rPr>
                <w:sz w:val="18"/>
                <w:szCs w:val="18"/>
              </w:rPr>
              <w:t>PRE-BUBBLE-MCA-HPV plato time</w:t>
            </w:r>
          </w:p>
        </w:tc>
        <w:tc>
          <w:tcPr>
            <w:tcW w:w="522" w:type="pct"/>
          </w:tcPr>
          <w:p w:rsidR="00E659A9" w:rsidRDefault="00E659A9" w:rsidP="001731FC">
            <w:pPr>
              <w:jc w:val="center"/>
              <w:rPr>
                <w:sz w:val="18"/>
                <w:szCs w:val="18"/>
              </w:rPr>
            </w:pPr>
            <w:r>
              <w:rPr>
                <w:sz w:val="18"/>
                <w:szCs w:val="18"/>
              </w:rPr>
              <w:t>16,2</w:t>
            </w:r>
            <w:r>
              <w:rPr>
                <w:rFonts w:cstheme="minorHAnsi"/>
                <w:sz w:val="18"/>
                <w:szCs w:val="18"/>
              </w:rPr>
              <w:t>±2,8</w:t>
            </w:r>
          </w:p>
        </w:tc>
        <w:tc>
          <w:tcPr>
            <w:tcW w:w="523" w:type="pct"/>
          </w:tcPr>
          <w:p w:rsidR="00E659A9" w:rsidRPr="0051775B" w:rsidRDefault="00E659A9" w:rsidP="001731FC">
            <w:pPr>
              <w:jc w:val="center"/>
              <w:rPr>
                <w:sz w:val="18"/>
                <w:szCs w:val="18"/>
              </w:rPr>
            </w:pPr>
            <w:r>
              <w:rPr>
                <w:sz w:val="18"/>
                <w:szCs w:val="18"/>
              </w:rPr>
              <w:t>16,2</w:t>
            </w:r>
            <w:r>
              <w:rPr>
                <w:rFonts w:cstheme="minorHAnsi"/>
                <w:sz w:val="18"/>
                <w:szCs w:val="18"/>
              </w:rPr>
              <w:t>±3,2</w:t>
            </w:r>
          </w:p>
        </w:tc>
        <w:tc>
          <w:tcPr>
            <w:tcW w:w="597" w:type="pct"/>
          </w:tcPr>
          <w:p w:rsidR="00E659A9" w:rsidRPr="0051775B" w:rsidRDefault="00E659A9" w:rsidP="001731FC">
            <w:pPr>
              <w:jc w:val="center"/>
              <w:rPr>
                <w:sz w:val="18"/>
                <w:szCs w:val="18"/>
              </w:rPr>
            </w:pPr>
            <w:r>
              <w:rPr>
                <w:sz w:val="18"/>
                <w:szCs w:val="18"/>
              </w:rPr>
              <w:t>16,0</w:t>
            </w:r>
            <w:r>
              <w:rPr>
                <w:rFonts w:cstheme="minorHAnsi"/>
                <w:sz w:val="18"/>
                <w:szCs w:val="18"/>
              </w:rPr>
              <w:t>±2,9</w:t>
            </w:r>
          </w:p>
        </w:tc>
        <w:tc>
          <w:tcPr>
            <w:tcW w:w="597" w:type="pct"/>
          </w:tcPr>
          <w:p w:rsidR="00E659A9" w:rsidRPr="0051775B" w:rsidRDefault="00E659A9" w:rsidP="001731FC">
            <w:pPr>
              <w:jc w:val="center"/>
              <w:rPr>
                <w:sz w:val="18"/>
                <w:szCs w:val="18"/>
              </w:rPr>
            </w:pPr>
            <w:r>
              <w:rPr>
                <w:sz w:val="18"/>
                <w:szCs w:val="18"/>
              </w:rPr>
              <w:t>16,5</w:t>
            </w:r>
            <w:r>
              <w:rPr>
                <w:rFonts w:cstheme="minorHAnsi"/>
                <w:sz w:val="18"/>
                <w:szCs w:val="18"/>
              </w:rPr>
              <w:t>±3,3</w:t>
            </w:r>
          </w:p>
        </w:tc>
        <w:tc>
          <w:tcPr>
            <w:tcW w:w="597" w:type="pct"/>
          </w:tcPr>
          <w:p w:rsidR="00E659A9" w:rsidRPr="0051775B" w:rsidRDefault="00E659A9" w:rsidP="001731FC">
            <w:pPr>
              <w:jc w:val="center"/>
              <w:rPr>
                <w:sz w:val="18"/>
                <w:szCs w:val="18"/>
              </w:rPr>
            </w:pPr>
            <w:r>
              <w:rPr>
                <w:sz w:val="18"/>
                <w:szCs w:val="18"/>
              </w:rPr>
              <w:t>15,6</w:t>
            </w:r>
            <w:r>
              <w:rPr>
                <w:rFonts w:cstheme="minorHAnsi"/>
                <w:sz w:val="18"/>
                <w:szCs w:val="18"/>
              </w:rPr>
              <w:t>±2,5</w:t>
            </w:r>
          </w:p>
        </w:tc>
        <w:tc>
          <w:tcPr>
            <w:tcW w:w="597" w:type="pct"/>
          </w:tcPr>
          <w:p w:rsidR="00E659A9" w:rsidRPr="0051775B" w:rsidRDefault="00E659A9" w:rsidP="001731FC">
            <w:pPr>
              <w:jc w:val="center"/>
              <w:rPr>
                <w:sz w:val="18"/>
                <w:szCs w:val="18"/>
              </w:rPr>
            </w:pPr>
            <w:r>
              <w:rPr>
                <w:sz w:val="18"/>
                <w:szCs w:val="18"/>
              </w:rPr>
              <w:t>16,4</w:t>
            </w:r>
            <w:r>
              <w:rPr>
                <w:rFonts w:cstheme="minorHAnsi"/>
                <w:sz w:val="18"/>
                <w:szCs w:val="18"/>
              </w:rPr>
              <w:t>±3,2</w:t>
            </w:r>
          </w:p>
        </w:tc>
      </w:tr>
      <w:tr w:rsidR="00E659A9" w:rsidRPr="0051775B" w:rsidTr="009E5AE5">
        <w:tc>
          <w:tcPr>
            <w:tcW w:w="1565" w:type="pct"/>
          </w:tcPr>
          <w:p w:rsidR="00E659A9" w:rsidRDefault="00E659A9" w:rsidP="001731FC">
            <w:pPr>
              <w:rPr>
                <w:sz w:val="18"/>
                <w:szCs w:val="18"/>
              </w:rPr>
            </w:pPr>
            <w:r>
              <w:rPr>
                <w:sz w:val="18"/>
                <w:szCs w:val="18"/>
              </w:rPr>
              <w:t>POST-BUBBLE-MCA-HPV plato time</w:t>
            </w:r>
          </w:p>
        </w:tc>
        <w:tc>
          <w:tcPr>
            <w:tcW w:w="522" w:type="pct"/>
          </w:tcPr>
          <w:p w:rsidR="00E659A9" w:rsidRDefault="00E659A9" w:rsidP="001731FC">
            <w:pPr>
              <w:jc w:val="center"/>
              <w:rPr>
                <w:sz w:val="18"/>
                <w:szCs w:val="18"/>
              </w:rPr>
            </w:pPr>
            <w:r>
              <w:rPr>
                <w:sz w:val="18"/>
                <w:szCs w:val="18"/>
              </w:rPr>
              <w:t>15,7</w:t>
            </w:r>
            <w:r>
              <w:rPr>
                <w:rFonts w:cstheme="minorHAnsi"/>
                <w:sz w:val="18"/>
                <w:szCs w:val="18"/>
              </w:rPr>
              <w:t>±3,2</w:t>
            </w:r>
          </w:p>
        </w:tc>
        <w:tc>
          <w:tcPr>
            <w:tcW w:w="523" w:type="pct"/>
          </w:tcPr>
          <w:p w:rsidR="00E659A9" w:rsidRPr="0051775B" w:rsidRDefault="00E659A9" w:rsidP="001731FC">
            <w:pPr>
              <w:jc w:val="center"/>
              <w:rPr>
                <w:sz w:val="18"/>
                <w:szCs w:val="18"/>
              </w:rPr>
            </w:pPr>
            <w:r>
              <w:rPr>
                <w:sz w:val="18"/>
                <w:szCs w:val="18"/>
              </w:rPr>
              <w:t>16,8</w:t>
            </w:r>
            <w:r>
              <w:rPr>
                <w:rFonts w:cstheme="minorHAnsi"/>
                <w:sz w:val="18"/>
                <w:szCs w:val="18"/>
              </w:rPr>
              <w:t>±3,2</w:t>
            </w:r>
          </w:p>
        </w:tc>
        <w:tc>
          <w:tcPr>
            <w:tcW w:w="597" w:type="pct"/>
          </w:tcPr>
          <w:p w:rsidR="00E659A9" w:rsidRPr="0051775B" w:rsidRDefault="00E659A9" w:rsidP="001731FC">
            <w:pPr>
              <w:jc w:val="center"/>
              <w:rPr>
                <w:sz w:val="18"/>
                <w:szCs w:val="18"/>
              </w:rPr>
            </w:pPr>
            <w:r>
              <w:rPr>
                <w:sz w:val="18"/>
                <w:szCs w:val="18"/>
              </w:rPr>
              <w:t>16,0</w:t>
            </w:r>
            <w:r>
              <w:rPr>
                <w:rFonts w:cstheme="minorHAnsi"/>
                <w:sz w:val="18"/>
                <w:szCs w:val="18"/>
              </w:rPr>
              <w:t>±3,3</w:t>
            </w:r>
          </w:p>
        </w:tc>
        <w:tc>
          <w:tcPr>
            <w:tcW w:w="597" w:type="pct"/>
          </w:tcPr>
          <w:p w:rsidR="00E659A9" w:rsidRPr="0051775B" w:rsidRDefault="00E659A9" w:rsidP="001731FC">
            <w:pPr>
              <w:jc w:val="center"/>
              <w:rPr>
                <w:sz w:val="18"/>
                <w:szCs w:val="18"/>
              </w:rPr>
            </w:pPr>
            <w:r>
              <w:rPr>
                <w:sz w:val="18"/>
                <w:szCs w:val="18"/>
              </w:rPr>
              <w:t>16,8</w:t>
            </w:r>
            <w:r>
              <w:rPr>
                <w:rFonts w:cstheme="minorHAnsi"/>
                <w:sz w:val="18"/>
                <w:szCs w:val="18"/>
              </w:rPr>
              <w:t>±3,0</w:t>
            </w:r>
          </w:p>
        </w:tc>
        <w:tc>
          <w:tcPr>
            <w:tcW w:w="597" w:type="pct"/>
          </w:tcPr>
          <w:p w:rsidR="00E659A9" w:rsidRPr="0051775B" w:rsidRDefault="00E659A9" w:rsidP="001731FC">
            <w:pPr>
              <w:jc w:val="center"/>
              <w:rPr>
                <w:sz w:val="18"/>
                <w:szCs w:val="18"/>
              </w:rPr>
            </w:pPr>
            <w:r>
              <w:rPr>
                <w:sz w:val="18"/>
                <w:szCs w:val="18"/>
              </w:rPr>
              <w:t>15,0</w:t>
            </w:r>
            <w:r>
              <w:rPr>
                <w:rFonts w:cstheme="minorHAnsi"/>
                <w:sz w:val="18"/>
                <w:szCs w:val="18"/>
              </w:rPr>
              <w:t>±2,6</w:t>
            </w:r>
          </w:p>
        </w:tc>
        <w:tc>
          <w:tcPr>
            <w:tcW w:w="597" w:type="pct"/>
          </w:tcPr>
          <w:p w:rsidR="00E659A9" w:rsidRPr="0051775B" w:rsidRDefault="00E659A9" w:rsidP="001731FC">
            <w:pPr>
              <w:jc w:val="center"/>
              <w:rPr>
                <w:sz w:val="18"/>
                <w:szCs w:val="18"/>
              </w:rPr>
            </w:pPr>
            <w:r>
              <w:rPr>
                <w:sz w:val="18"/>
                <w:szCs w:val="18"/>
              </w:rPr>
              <w:t>16,8</w:t>
            </w:r>
            <w:r>
              <w:rPr>
                <w:rFonts w:cstheme="minorHAnsi"/>
                <w:sz w:val="18"/>
                <w:szCs w:val="18"/>
              </w:rPr>
              <w:t>±3,3</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2F2F2" w:themeFill="background1" w:themeFillShade="F2"/>
          </w:tcPr>
          <w:p w:rsidR="00E659A9" w:rsidRDefault="00E659A9" w:rsidP="001731FC">
            <w:pPr>
              <w:rPr>
                <w:sz w:val="18"/>
                <w:szCs w:val="18"/>
              </w:rPr>
            </w:pPr>
            <w:r>
              <w:rPr>
                <w:sz w:val="18"/>
                <w:szCs w:val="18"/>
              </w:rPr>
              <w:t>P</w:t>
            </w:r>
          </w:p>
        </w:tc>
        <w:tc>
          <w:tcPr>
            <w:tcW w:w="522" w:type="pct"/>
            <w:shd w:val="clear" w:color="auto" w:fill="F2F2F2" w:themeFill="background1" w:themeFillShade="F2"/>
          </w:tcPr>
          <w:p w:rsidR="00E659A9" w:rsidRDefault="00E659A9" w:rsidP="001731FC">
            <w:pPr>
              <w:jc w:val="center"/>
              <w:rPr>
                <w:sz w:val="18"/>
                <w:szCs w:val="18"/>
              </w:rPr>
            </w:pPr>
            <w:r>
              <w:rPr>
                <w:sz w:val="18"/>
                <w:szCs w:val="18"/>
              </w:rPr>
              <w:t>0,330</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0,318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0,724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0,282</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0,454</w:t>
            </w:r>
          </w:p>
        </w:tc>
      </w:tr>
    </w:tbl>
    <w:p w:rsidR="00E659A9" w:rsidRDefault="00E659A9" w:rsidP="00461F9A">
      <w:pPr>
        <w:spacing w:line="360" w:lineRule="auto"/>
        <w:ind w:firstLine="567"/>
        <w:jc w:val="both"/>
        <w:rPr>
          <w:rFonts w:ascii="Arial" w:hAnsi="Arial" w:cs="Arial"/>
          <w:sz w:val="24"/>
          <w:szCs w:val="24"/>
        </w:rPr>
      </w:pPr>
    </w:p>
    <w:p w:rsidR="00E659A9" w:rsidRDefault="00E659A9">
      <w:pPr>
        <w:rPr>
          <w:rFonts w:ascii="Arial" w:hAnsi="Arial" w:cs="Arial"/>
          <w:sz w:val="24"/>
          <w:szCs w:val="24"/>
        </w:rPr>
      </w:pPr>
      <w:r>
        <w:rPr>
          <w:rFonts w:ascii="Arial" w:hAnsi="Arial" w:cs="Arial"/>
          <w:sz w:val="24"/>
          <w:szCs w:val="24"/>
        </w:rPr>
        <w:br w:type="page"/>
      </w:r>
    </w:p>
    <w:p w:rsidR="00E659A9" w:rsidRPr="000D3FEC" w:rsidRDefault="00E659A9" w:rsidP="009E5AE5">
      <w:pPr>
        <w:pStyle w:val="Tablolar6"/>
      </w:pPr>
      <w:bookmarkStart w:id="58" w:name="_Toc492677376"/>
      <w:r w:rsidRPr="000D3FEC">
        <w:lastRenderedPageBreak/>
        <w:t xml:space="preserve">Tablo </w:t>
      </w:r>
      <w:r w:rsidR="007259BF">
        <w:t>3.</w:t>
      </w:r>
      <w:r w:rsidRPr="000D3FEC">
        <w:t>8</w:t>
      </w:r>
      <w:r>
        <w:t>b</w:t>
      </w:r>
      <w:r w:rsidR="009E5AE5">
        <w:t>.</w:t>
      </w:r>
      <w:r w:rsidRPr="000D3FEC">
        <w:t xml:space="preserve"> </w:t>
      </w:r>
      <w:r w:rsidRPr="009E5AE5">
        <w:rPr>
          <w:b w:val="0"/>
        </w:rPr>
        <w:t>Ajite salinin hiperventilasyon plato yanıtına olan etkisi II</w:t>
      </w:r>
      <w:bookmarkEnd w:id="58"/>
    </w:p>
    <w:tbl>
      <w:tblPr>
        <w:tblStyle w:val="TabloKlavuzu"/>
        <w:tblW w:w="5000" w:type="pct"/>
        <w:tblLook w:val="04A0" w:firstRow="1" w:lastRow="0" w:firstColumn="1" w:lastColumn="0" w:noHBand="0" w:noVBand="1"/>
      </w:tblPr>
      <w:tblGrid>
        <w:gridCol w:w="4206"/>
        <w:gridCol w:w="1403"/>
        <w:gridCol w:w="1405"/>
        <w:gridCol w:w="1603"/>
        <w:gridCol w:w="1603"/>
        <w:gridCol w:w="1603"/>
        <w:gridCol w:w="1603"/>
      </w:tblGrid>
      <w:tr w:rsidR="00E659A9" w:rsidRPr="00C35108" w:rsidTr="009E5AE5">
        <w:tc>
          <w:tcPr>
            <w:tcW w:w="1565" w:type="pct"/>
            <w:shd w:val="clear" w:color="auto" w:fill="F2F2F2" w:themeFill="background1" w:themeFillShade="F2"/>
          </w:tcPr>
          <w:p w:rsidR="00E659A9" w:rsidRPr="00C35108" w:rsidRDefault="00E659A9" w:rsidP="001731FC">
            <w:pPr>
              <w:rPr>
                <w:b/>
                <w:sz w:val="18"/>
                <w:szCs w:val="18"/>
              </w:rPr>
            </w:pPr>
            <w:r w:rsidRPr="00C35108">
              <w:rPr>
                <w:b/>
                <w:sz w:val="18"/>
                <w:szCs w:val="18"/>
              </w:rPr>
              <w:t>Grup</w:t>
            </w:r>
          </w:p>
        </w:tc>
        <w:tc>
          <w:tcPr>
            <w:tcW w:w="522"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1</w:t>
            </w:r>
          </w:p>
        </w:tc>
        <w:tc>
          <w:tcPr>
            <w:tcW w:w="523"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2</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3</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4</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5</w:t>
            </w:r>
          </w:p>
        </w:tc>
        <w:tc>
          <w:tcPr>
            <w:tcW w:w="597" w:type="pct"/>
            <w:shd w:val="clear" w:color="auto" w:fill="F2F2F2" w:themeFill="background1" w:themeFillShade="F2"/>
          </w:tcPr>
          <w:p w:rsidR="00E659A9" w:rsidRPr="00C35108" w:rsidRDefault="00E659A9" w:rsidP="001731FC">
            <w:pPr>
              <w:jc w:val="center"/>
              <w:rPr>
                <w:b/>
                <w:sz w:val="18"/>
                <w:szCs w:val="18"/>
              </w:rPr>
            </w:pPr>
            <w:r w:rsidRPr="00C35108">
              <w:rPr>
                <w:b/>
                <w:sz w:val="18"/>
                <w:szCs w:val="18"/>
              </w:rPr>
              <w:t>6</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Migren</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Aura</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PFO</w:t>
            </w:r>
          </w:p>
        </w:tc>
        <w:tc>
          <w:tcPr>
            <w:tcW w:w="522"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23"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0</w:t>
            </w:r>
          </w:p>
        </w:tc>
        <w:tc>
          <w:tcPr>
            <w:tcW w:w="597" w:type="pct"/>
            <w:shd w:val="clear" w:color="auto" w:fill="F2F2F2" w:themeFill="background1" w:themeFillShade="F2"/>
          </w:tcPr>
          <w:p w:rsidR="00E659A9" w:rsidRPr="0051775B" w:rsidRDefault="00E659A9" w:rsidP="001731FC">
            <w:pPr>
              <w:jc w:val="center"/>
              <w:rPr>
                <w:sz w:val="18"/>
                <w:szCs w:val="18"/>
              </w:rPr>
            </w:pPr>
            <w:r w:rsidRPr="0051775B">
              <w:rPr>
                <w:sz w:val="18"/>
                <w:szCs w:val="18"/>
              </w:rPr>
              <w:t>1</w:t>
            </w:r>
          </w:p>
        </w:tc>
      </w:tr>
      <w:tr w:rsidR="00E659A9" w:rsidRPr="0051775B" w:rsidTr="009E5AE5">
        <w:tc>
          <w:tcPr>
            <w:tcW w:w="1565" w:type="pct"/>
          </w:tcPr>
          <w:p w:rsidR="00E659A9" w:rsidRPr="0051775B" w:rsidRDefault="00E659A9" w:rsidP="001731FC">
            <w:pPr>
              <w:rPr>
                <w:sz w:val="18"/>
                <w:szCs w:val="18"/>
              </w:rPr>
            </w:pPr>
            <w:r w:rsidRPr="0051775B">
              <w:rPr>
                <w:sz w:val="18"/>
                <w:szCs w:val="18"/>
              </w:rPr>
              <w:t>N</w:t>
            </w:r>
          </w:p>
        </w:tc>
        <w:tc>
          <w:tcPr>
            <w:tcW w:w="522" w:type="pct"/>
          </w:tcPr>
          <w:p w:rsidR="00E659A9" w:rsidRPr="0051775B" w:rsidRDefault="00E659A9" w:rsidP="001731FC">
            <w:pPr>
              <w:jc w:val="center"/>
              <w:rPr>
                <w:sz w:val="18"/>
                <w:szCs w:val="18"/>
              </w:rPr>
            </w:pPr>
            <w:r w:rsidRPr="0051775B">
              <w:rPr>
                <w:sz w:val="18"/>
                <w:szCs w:val="18"/>
              </w:rPr>
              <w:t>10</w:t>
            </w:r>
          </w:p>
        </w:tc>
        <w:tc>
          <w:tcPr>
            <w:tcW w:w="523" w:type="pct"/>
          </w:tcPr>
          <w:p w:rsidR="00E659A9" w:rsidRPr="0051775B" w:rsidRDefault="00E659A9" w:rsidP="001731FC">
            <w:pPr>
              <w:jc w:val="center"/>
              <w:rPr>
                <w:sz w:val="18"/>
                <w:szCs w:val="18"/>
              </w:rPr>
            </w:pPr>
            <w:r w:rsidRPr="0051775B">
              <w:rPr>
                <w:sz w:val="18"/>
                <w:szCs w:val="18"/>
              </w:rPr>
              <w:t>8</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c>
          <w:tcPr>
            <w:tcW w:w="597" w:type="pct"/>
          </w:tcPr>
          <w:p w:rsidR="00E659A9" w:rsidRPr="0051775B" w:rsidRDefault="00E659A9" w:rsidP="001731FC">
            <w:pPr>
              <w:jc w:val="center"/>
              <w:rPr>
                <w:sz w:val="18"/>
                <w:szCs w:val="18"/>
              </w:rPr>
            </w:pPr>
            <w:r w:rsidRPr="0051775B">
              <w:rPr>
                <w:sz w:val="18"/>
                <w:szCs w:val="18"/>
              </w:rPr>
              <w:t>10</w:t>
            </w:r>
          </w:p>
        </w:tc>
        <w:tc>
          <w:tcPr>
            <w:tcW w:w="597" w:type="pct"/>
          </w:tcPr>
          <w:p w:rsidR="00E659A9" w:rsidRPr="0051775B" w:rsidRDefault="00E659A9" w:rsidP="001731FC">
            <w:pPr>
              <w:jc w:val="center"/>
              <w:rPr>
                <w:sz w:val="18"/>
                <w:szCs w:val="18"/>
              </w:rPr>
            </w:pPr>
            <w:r w:rsidRPr="0051775B">
              <w:rPr>
                <w:sz w:val="18"/>
                <w:szCs w:val="18"/>
              </w:rPr>
              <w:t>9</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 xml:space="preserve">HPV </w:t>
            </w:r>
            <w:r w:rsidRPr="0051775B">
              <w:rPr>
                <w:sz w:val="18"/>
                <w:szCs w:val="18"/>
              </w:rPr>
              <w:t>PCA all</w:t>
            </w:r>
          </w:p>
        </w:tc>
        <w:tc>
          <w:tcPr>
            <w:tcW w:w="522" w:type="pct"/>
          </w:tcPr>
          <w:p w:rsidR="00E659A9" w:rsidRPr="0051775B" w:rsidRDefault="00E659A9" w:rsidP="001731FC">
            <w:pPr>
              <w:jc w:val="center"/>
              <w:rPr>
                <w:sz w:val="18"/>
                <w:szCs w:val="18"/>
              </w:rPr>
            </w:pPr>
            <w:r>
              <w:rPr>
                <w:sz w:val="18"/>
                <w:szCs w:val="18"/>
              </w:rPr>
              <w:t>24,4</w:t>
            </w:r>
            <w:r>
              <w:rPr>
                <w:rFonts w:cstheme="minorHAnsi"/>
                <w:sz w:val="18"/>
                <w:szCs w:val="18"/>
              </w:rPr>
              <w:t>±8,0</w:t>
            </w:r>
          </w:p>
        </w:tc>
        <w:tc>
          <w:tcPr>
            <w:tcW w:w="523" w:type="pct"/>
          </w:tcPr>
          <w:p w:rsidR="00E659A9" w:rsidRPr="0051775B" w:rsidRDefault="00E659A9" w:rsidP="001731FC">
            <w:pPr>
              <w:jc w:val="center"/>
              <w:rPr>
                <w:sz w:val="18"/>
                <w:szCs w:val="18"/>
              </w:rPr>
            </w:pPr>
            <w:r>
              <w:rPr>
                <w:sz w:val="18"/>
                <w:szCs w:val="18"/>
              </w:rPr>
              <w:t>25,1</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28,9</w:t>
            </w:r>
            <w:r>
              <w:rPr>
                <w:rFonts w:cstheme="minorHAnsi"/>
                <w:sz w:val="18"/>
                <w:szCs w:val="18"/>
              </w:rPr>
              <w:t>±6,4</w:t>
            </w:r>
          </w:p>
        </w:tc>
        <w:tc>
          <w:tcPr>
            <w:tcW w:w="597" w:type="pct"/>
          </w:tcPr>
          <w:p w:rsidR="00E659A9" w:rsidRPr="0051775B" w:rsidRDefault="00E659A9" w:rsidP="001731FC">
            <w:pPr>
              <w:jc w:val="center"/>
              <w:rPr>
                <w:sz w:val="18"/>
                <w:szCs w:val="18"/>
              </w:rPr>
            </w:pPr>
            <w:r>
              <w:rPr>
                <w:sz w:val="18"/>
                <w:szCs w:val="18"/>
              </w:rPr>
              <w:t>29,2</w:t>
            </w:r>
            <w:r>
              <w:rPr>
                <w:rFonts w:cstheme="minorHAnsi"/>
                <w:sz w:val="18"/>
                <w:szCs w:val="18"/>
              </w:rPr>
              <w:t>±14,6</w:t>
            </w:r>
          </w:p>
        </w:tc>
        <w:tc>
          <w:tcPr>
            <w:tcW w:w="597" w:type="pct"/>
          </w:tcPr>
          <w:p w:rsidR="00E659A9" w:rsidRPr="0051775B" w:rsidRDefault="00E659A9" w:rsidP="001731FC">
            <w:pPr>
              <w:jc w:val="center"/>
              <w:rPr>
                <w:sz w:val="18"/>
                <w:szCs w:val="18"/>
              </w:rPr>
            </w:pPr>
            <w:r>
              <w:rPr>
                <w:sz w:val="18"/>
                <w:szCs w:val="18"/>
              </w:rPr>
              <w:t>27,3</w:t>
            </w:r>
            <w:r>
              <w:rPr>
                <w:rFonts w:cstheme="minorHAnsi"/>
                <w:sz w:val="18"/>
                <w:szCs w:val="18"/>
              </w:rPr>
              <w:t>±6,2</w:t>
            </w:r>
          </w:p>
        </w:tc>
        <w:tc>
          <w:tcPr>
            <w:tcW w:w="597" w:type="pct"/>
          </w:tcPr>
          <w:p w:rsidR="00E659A9" w:rsidRPr="0051775B" w:rsidRDefault="00E659A9" w:rsidP="001731FC">
            <w:pPr>
              <w:jc w:val="center"/>
              <w:rPr>
                <w:sz w:val="18"/>
                <w:szCs w:val="18"/>
              </w:rPr>
            </w:pPr>
            <w:r>
              <w:rPr>
                <w:sz w:val="18"/>
                <w:szCs w:val="18"/>
              </w:rPr>
              <w:t>26,4</w:t>
            </w:r>
            <w:r>
              <w:rPr>
                <w:rFonts w:cstheme="minorHAnsi"/>
                <w:sz w:val="18"/>
                <w:szCs w:val="18"/>
              </w:rPr>
              <w:t>±7,7</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w:t>
            </w:r>
            <w:r w:rsidRPr="0051775B">
              <w:rPr>
                <w:sz w:val="18"/>
                <w:szCs w:val="18"/>
              </w:rPr>
              <w:t xml:space="preserve"> PCA all</w:t>
            </w:r>
          </w:p>
        </w:tc>
        <w:tc>
          <w:tcPr>
            <w:tcW w:w="522" w:type="pct"/>
          </w:tcPr>
          <w:p w:rsidR="00E659A9" w:rsidRPr="0051775B" w:rsidRDefault="00E659A9" w:rsidP="001731FC">
            <w:pPr>
              <w:jc w:val="center"/>
              <w:rPr>
                <w:sz w:val="18"/>
                <w:szCs w:val="18"/>
              </w:rPr>
            </w:pPr>
            <w:r>
              <w:rPr>
                <w:sz w:val="18"/>
                <w:szCs w:val="18"/>
              </w:rPr>
              <w:t>23,7</w:t>
            </w:r>
            <w:r>
              <w:rPr>
                <w:rFonts w:cstheme="minorHAnsi"/>
                <w:sz w:val="18"/>
                <w:szCs w:val="18"/>
              </w:rPr>
              <w:t>±8,0</w:t>
            </w:r>
          </w:p>
        </w:tc>
        <w:tc>
          <w:tcPr>
            <w:tcW w:w="523" w:type="pct"/>
          </w:tcPr>
          <w:p w:rsidR="00E659A9" w:rsidRPr="0051775B" w:rsidRDefault="00E659A9" w:rsidP="001731FC">
            <w:pPr>
              <w:jc w:val="center"/>
              <w:rPr>
                <w:sz w:val="18"/>
                <w:szCs w:val="18"/>
              </w:rPr>
            </w:pPr>
            <w:r>
              <w:rPr>
                <w:sz w:val="18"/>
                <w:szCs w:val="18"/>
              </w:rPr>
              <w:t>29,9</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24,8</w:t>
            </w:r>
            <w:r>
              <w:rPr>
                <w:rFonts w:cstheme="minorHAnsi"/>
                <w:sz w:val="18"/>
                <w:szCs w:val="18"/>
              </w:rPr>
              <w:t>±7,7</w:t>
            </w:r>
          </w:p>
        </w:tc>
        <w:tc>
          <w:tcPr>
            <w:tcW w:w="597" w:type="pct"/>
          </w:tcPr>
          <w:p w:rsidR="00E659A9" w:rsidRPr="0051775B" w:rsidRDefault="00E659A9" w:rsidP="001731FC">
            <w:pPr>
              <w:jc w:val="center"/>
              <w:rPr>
                <w:sz w:val="18"/>
                <w:szCs w:val="18"/>
              </w:rPr>
            </w:pPr>
            <w:r>
              <w:rPr>
                <w:sz w:val="18"/>
                <w:szCs w:val="18"/>
              </w:rPr>
              <w:t>28,2</w:t>
            </w:r>
            <w:r>
              <w:rPr>
                <w:rFonts w:cstheme="minorHAnsi"/>
                <w:sz w:val="18"/>
                <w:szCs w:val="18"/>
              </w:rPr>
              <w:t>±5,4</w:t>
            </w:r>
          </w:p>
        </w:tc>
        <w:tc>
          <w:tcPr>
            <w:tcW w:w="597" w:type="pct"/>
          </w:tcPr>
          <w:p w:rsidR="00E659A9" w:rsidRPr="0051775B" w:rsidRDefault="00E659A9" w:rsidP="001731FC">
            <w:pPr>
              <w:jc w:val="center"/>
              <w:rPr>
                <w:sz w:val="18"/>
                <w:szCs w:val="18"/>
              </w:rPr>
            </w:pPr>
            <w:r>
              <w:rPr>
                <w:sz w:val="18"/>
                <w:szCs w:val="18"/>
              </w:rPr>
              <w:t>27,4</w:t>
            </w:r>
            <w:r>
              <w:rPr>
                <w:rFonts w:cstheme="minorHAnsi"/>
                <w:sz w:val="18"/>
                <w:szCs w:val="18"/>
              </w:rPr>
              <w:t>±6,1</w:t>
            </w:r>
          </w:p>
        </w:tc>
        <w:tc>
          <w:tcPr>
            <w:tcW w:w="597" w:type="pct"/>
          </w:tcPr>
          <w:p w:rsidR="00E659A9" w:rsidRPr="0051775B" w:rsidRDefault="00E659A9" w:rsidP="001731FC">
            <w:pPr>
              <w:jc w:val="center"/>
              <w:rPr>
                <w:sz w:val="18"/>
                <w:szCs w:val="18"/>
              </w:rPr>
            </w:pPr>
            <w:r>
              <w:rPr>
                <w:sz w:val="18"/>
                <w:szCs w:val="18"/>
              </w:rPr>
              <w:t>28,9</w:t>
            </w:r>
            <w:r>
              <w:rPr>
                <w:rFonts w:cstheme="minorHAnsi"/>
                <w:sz w:val="18"/>
                <w:szCs w:val="18"/>
              </w:rPr>
              <w:t>±10,8</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0,740</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0,122</w:t>
            </w:r>
          </w:p>
        </w:tc>
        <w:tc>
          <w:tcPr>
            <w:tcW w:w="597" w:type="pct"/>
            <w:shd w:val="clear" w:color="auto" w:fill="F2F2F2" w:themeFill="background1" w:themeFillShade="F2"/>
          </w:tcPr>
          <w:p w:rsidR="00E659A9" w:rsidRPr="00C35108" w:rsidRDefault="00E659A9" w:rsidP="001731FC">
            <w:pPr>
              <w:jc w:val="center"/>
              <w:rPr>
                <w:sz w:val="18"/>
                <w:szCs w:val="18"/>
                <w:highlight w:val="yellow"/>
              </w:rPr>
            </w:pPr>
            <w:r w:rsidRPr="00DB0B02">
              <w:rPr>
                <w:sz w:val="18"/>
                <w:szCs w:val="18"/>
              </w:rPr>
              <w:t>0,279</w:t>
            </w:r>
          </w:p>
        </w:tc>
        <w:tc>
          <w:tcPr>
            <w:tcW w:w="597" w:type="pct"/>
            <w:shd w:val="clear" w:color="auto" w:fill="F2F2F2" w:themeFill="background1" w:themeFillShade="F2"/>
          </w:tcPr>
          <w:p w:rsidR="00E659A9" w:rsidRPr="00C35108" w:rsidRDefault="00E659A9" w:rsidP="001731FC">
            <w:pPr>
              <w:jc w:val="center"/>
              <w:rPr>
                <w:sz w:val="18"/>
                <w:szCs w:val="18"/>
                <w:highlight w:val="yellow"/>
              </w:rPr>
            </w:pPr>
            <w:r w:rsidRPr="00BA0F5D">
              <w:rPr>
                <w:sz w:val="18"/>
                <w:szCs w:val="18"/>
              </w:rPr>
              <w:t>0,795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0,959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0,360</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PCA ipsil.</w:t>
            </w:r>
          </w:p>
        </w:tc>
        <w:tc>
          <w:tcPr>
            <w:tcW w:w="522" w:type="pct"/>
          </w:tcPr>
          <w:p w:rsidR="00E659A9" w:rsidRPr="0051775B" w:rsidRDefault="00E659A9" w:rsidP="001731FC">
            <w:pPr>
              <w:jc w:val="center"/>
              <w:rPr>
                <w:sz w:val="18"/>
                <w:szCs w:val="18"/>
              </w:rPr>
            </w:pPr>
            <w:r>
              <w:rPr>
                <w:sz w:val="18"/>
                <w:szCs w:val="18"/>
              </w:rPr>
              <w:t>26,9</w:t>
            </w:r>
            <w:r>
              <w:rPr>
                <w:rFonts w:cstheme="minorHAnsi"/>
                <w:sz w:val="18"/>
                <w:szCs w:val="18"/>
              </w:rPr>
              <w:t>±9,9</w:t>
            </w:r>
          </w:p>
        </w:tc>
        <w:tc>
          <w:tcPr>
            <w:tcW w:w="523" w:type="pct"/>
          </w:tcPr>
          <w:p w:rsidR="00E659A9" w:rsidRPr="00D53AA4" w:rsidRDefault="00E659A9" w:rsidP="001731FC">
            <w:pPr>
              <w:jc w:val="center"/>
              <w:rPr>
                <w:sz w:val="18"/>
                <w:szCs w:val="18"/>
              </w:rPr>
            </w:pPr>
            <w:r w:rsidRPr="00D53AA4">
              <w:rPr>
                <w:sz w:val="18"/>
                <w:szCs w:val="18"/>
              </w:rPr>
              <w:t>25,8</w:t>
            </w:r>
            <w:r w:rsidRPr="00D53AA4">
              <w:rPr>
                <w:rFonts w:cstheme="minorHAnsi"/>
                <w:sz w:val="18"/>
                <w:szCs w:val="18"/>
              </w:rPr>
              <w:t>±8,7</w:t>
            </w:r>
          </w:p>
        </w:tc>
        <w:tc>
          <w:tcPr>
            <w:tcW w:w="597" w:type="pct"/>
          </w:tcPr>
          <w:p w:rsidR="00E659A9" w:rsidRPr="0051775B" w:rsidRDefault="00E659A9" w:rsidP="001731FC">
            <w:pPr>
              <w:jc w:val="center"/>
              <w:rPr>
                <w:sz w:val="18"/>
                <w:szCs w:val="18"/>
              </w:rPr>
            </w:pPr>
            <w:r>
              <w:rPr>
                <w:sz w:val="18"/>
                <w:szCs w:val="18"/>
              </w:rPr>
              <w:t>29,5</w:t>
            </w:r>
            <w:r>
              <w:rPr>
                <w:rFonts w:cstheme="minorHAnsi"/>
                <w:sz w:val="18"/>
                <w:szCs w:val="18"/>
              </w:rPr>
              <w:t>±5,9</w:t>
            </w:r>
          </w:p>
        </w:tc>
        <w:tc>
          <w:tcPr>
            <w:tcW w:w="597" w:type="pct"/>
          </w:tcPr>
          <w:p w:rsidR="00E659A9" w:rsidRPr="0051775B" w:rsidRDefault="00E659A9" w:rsidP="001731FC">
            <w:pPr>
              <w:jc w:val="center"/>
              <w:rPr>
                <w:sz w:val="18"/>
                <w:szCs w:val="18"/>
              </w:rPr>
            </w:pPr>
            <w:r>
              <w:rPr>
                <w:sz w:val="18"/>
                <w:szCs w:val="18"/>
              </w:rPr>
              <w:t>34,3</w:t>
            </w:r>
            <w:r>
              <w:rPr>
                <w:rFonts w:cstheme="minorHAnsi"/>
                <w:sz w:val="18"/>
                <w:szCs w:val="18"/>
              </w:rPr>
              <w:t>±9,5</w:t>
            </w:r>
          </w:p>
        </w:tc>
        <w:tc>
          <w:tcPr>
            <w:tcW w:w="597" w:type="pct"/>
          </w:tcPr>
          <w:p w:rsidR="00E659A9" w:rsidRPr="0051775B" w:rsidRDefault="00E659A9" w:rsidP="001731FC">
            <w:pPr>
              <w:jc w:val="center"/>
              <w:rPr>
                <w:sz w:val="18"/>
                <w:szCs w:val="18"/>
              </w:rPr>
            </w:pPr>
            <w:r>
              <w:rPr>
                <w:sz w:val="18"/>
                <w:szCs w:val="18"/>
              </w:rPr>
              <w:t>27,1</w:t>
            </w:r>
            <w:r>
              <w:rPr>
                <w:rFonts w:cstheme="minorHAnsi"/>
                <w:sz w:val="18"/>
                <w:szCs w:val="18"/>
              </w:rPr>
              <w:t>±9,5</w:t>
            </w:r>
          </w:p>
        </w:tc>
        <w:tc>
          <w:tcPr>
            <w:tcW w:w="597" w:type="pct"/>
          </w:tcPr>
          <w:p w:rsidR="00E659A9" w:rsidRPr="0051775B" w:rsidRDefault="00E659A9" w:rsidP="001731FC">
            <w:pPr>
              <w:jc w:val="center"/>
              <w:rPr>
                <w:sz w:val="18"/>
                <w:szCs w:val="18"/>
              </w:rPr>
            </w:pPr>
            <w:r>
              <w:rPr>
                <w:sz w:val="18"/>
                <w:szCs w:val="18"/>
              </w:rPr>
              <w:t>26,0</w:t>
            </w:r>
            <w:r>
              <w:rPr>
                <w:rFonts w:cstheme="minorHAnsi"/>
                <w:sz w:val="18"/>
                <w:szCs w:val="18"/>
              </w:rPr>
              <w:t>±6,8</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 PCA ipsi.</w:t>
            </w:r>
          </w:p>
        </w:tc>
        <w:tc>
          <w:tcPr>
            <w:tcW w:w="522" w:type="pct"/>
          </w:tcPr>
          <w:p w:rsidR="00E659A9" w:rsidRPr="0051775B" w:rsidRDefault="00E659A9" w:rsidP="001731FC">
            <w:pPr>
              <w:jc w:val="center"/>
              <w:rPr>
                <w:sz w:val="18"/>
                <w:szCs w:val="18"/>
              </w:rPr>
            </w:pPr>
            <w:r>
              <w:rPr>
                <w:sz w:val="18"/>
                <w:szCs w:val="18"/>
              </w:rPr>
              <w:t>23,8</w:t>
            </w:r>
            <w:r>
              <w:rPr>
                <w:rFonts w:cstheme="minorHAnsi"/>
                <w:sz w:val="18"/>
                <w:szCs w:val="18"/>
              </w:rPr>
              <w:t>±8,5</w:t>
            </w:r>
          </w:p>
        </w:tc>
        <w:tc>
          <w:tcPr>
            <w:tcW w:w="523" w:type="pct"/>
          </w:tcPr>
          <w:p w:rsidR="00E659A9" w:rsidRPr="00D53AA4" w:rsidRDefault="00E659A9" w:rsidP="001731FC">
            <w:pPr>
              <w:jc w:val="center"/>
              <w:rPr>
                <w:sz w:val="18"/>
                <w:szCs w:val="18"/>
              </w:rPr>
            </w:pPr>
            <w:r w:rsidRPr="00D53AA4">
              <w:rPr>
                <w:sz w:val="18"/>
                <w:szCs w:val="18"/>
              </w:rPr>
              <w:t>30,9</w:t>
            </w:r>
            <w:r w:rsidRPr="00D53AA4">
              <w:rPr>
                <w:rFonts w:cstheme="minorHAnsi"/>
                <w:sz w:val="18"/>
                <w:szCs w:val="18"/>
              </w:rPr>
              <w:t>±9,1</w:t>
            </w:r>
          </w:p>
        </w:tc>
        <w:tc>
          <w:tcPr>
            <w:tcW w:w="597" w:type="pct"/>
          </w:tcPr>
          <w:p w:rsidR="00E659A9" w:rsidRPr="0051775B" w:rsidRDefault="00E659A9" w:rsidP="001731FC">
            <w:pPr>
              <w:jc w:val="center"/>
              <w:rPr>
                <w:sz w:val="18"/>
                <w:szCs w:val="18"/>
              </w:rPr>
            </w:pPr>
            <w:r>
              <w:rPr>
                <w:sz w:val="18"/>
                <w:szCs w:val="18"/>
              </w:rPr>
              <w:t>24,8</w:t>
            </w:r>
            <w:r>
              <w:rPr>
                <w:rFonts w:cstheme="minorHAnsi"/>
                <w:sz w:val="18"/>
                <w:szCs w:val="18"/>
              </w:rPr>
              <w:t>±7,4</w:t>
            </w:r>
          </w:p>
        </w:tc>
        <w:tc>
          <w:tcPr>
            <w:tcW w:w="597" w:type="pct"/>
          </w:tcPr>
          <w:p w:rsidR="00E659A9" w:rsidRPr="0051775B" w:rsidRDefault="00E659A9" w:rsidP="001731FC">
            <w:pPr>
              <w:jc w:val="center"/>
              <w:rPr>
                <w:sz w:val="18"/>
                <w:szCs w:val="18"/>
              </w:rPr>
            </w:pPr>
            <w:r>
              <w:rPr>
                <w:sz w:val="18"/>
                <w:szCs w:val="18"/>
              </w:rPr>
              <w:t>29,4</w:t>
            </w:r>
            <w:r>
              <w:rPr>
                <w:rFonts w:cstheme="minorHAnsi"/>
                <w:sz w:val="18"/>
                <w:szCs w:val="18"/>
              </w:rPr>
              <w:t>±4,2</w:t>
            </w:r>
          </w:p>
        </w:tc>
        <w:tc>
          <w:tcPr>
            <w:tcW w:w="597" w:type="pct"/>
          </w:tcPr>
          <w:p w:rsidR="00E659A9" w:rsidRPr="0051775B" w:rsidRDefault="00E659A9" w:rsidP="001731FC">
            <w:pPr>
              <w:jc w:val="center"/>
              <w:rPr>
                <w:sz w:val="18"/>
                <w:szCs w:val="18"/>
              </w:rPr>
            </w:pPr>
            <w:r>
              <w:rPr>
                <w:sz w:val="18"/>
                <w:szCs w:val="18"/>
              </w:rPr>
              <w:t>27,6</w:t>
            </w:r>
            <w:r>
              <w:rPr>
                <w:rFonts w:cstheme="minorHAnsi"/>
                <w:sz w:val="18"/>
                <w:szCs w:val="18"/>
              </w:rPr>
              <w:t>±5,7</w:t>
            </w:r>
          </w:p>
        </w:tc>
        <w:tc>
          <w:tcPr>
            <w:tcW w:w="597" w:type="pct"/>
          </w:tcPr>
          <w:p w:rsidR="00E659A9" w:rsidRPr="0051775B" w:rsidRDefault="00E659A9" w:rsidP="001731FC">
            <w:pPr>
              <w:jc w:val="center"/>
              <w:rPr>
                <w:sz w:val="18"/>
                <w:szCs w:val="18"/>
              </w:rPr>
            </w:pPr>
            <w:r>
              <w:rPr>
                <w:sz w:val="18"/>
                <w:szCs w:val="18"/>
              </w:rPr>
              <w:t>28,5</w:t>
            </w:r>
            <w:r>
              <w:rPr>
                <w:rFonts w:cstheme="minorHAnsi"/>
                <w:sz w:val="18"/>
                <w:szCs w:val="18"/>
              </w:rPr>
              <w:t>±11,3</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0,325</w:t>
            </w:r>
          </w:p>
        </w:tc>
        <w:tc>
          <w:tcPr>
            <w:tcW w:w="523" w:type="pct"/>
            <w:shd w:val="clear" w:color="auto" w:fill="F2F2F2" w:themeFill="background1" w:themeFillShade="F2"/>
          </w:tcPr>
          <w:p w:rsidR="00E659A9" w:rsidRPr="00D53AA4" w:rsidRDefault="00E659A9" w:rsidP="001731FC">
            <w:pPr>
              <w:jc w:val="center"/>
              <w:rPr>
                <w:sz w:val="18"/>
                <w:szCs w:val="18"/>
              </w:rPr>
            </w:pPr>
            <w:r w:rsidRPr="00D53AA4">
              <w:rPr>
                <w:sz w:val="18"/>
                <w:szCs w:val="18"/>
              </w:rPr>
              <w:t>0,069</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0,234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0,080</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0,853</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0,454</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PCA cont.</w:t>
            </w:r>
          </w:p>
        </w:tc>
        <w:tc>
          <w:tcPr>
            <w:tcW w:w="522" w:type="pct"/>
          </w:tcPr>
          <w:p w:rsidR="00E659A9" w:rsidRPr="0051775B" w:rsidRDefault="00E659A9" w:rsidP="001731FC">
            <w:pPr>
              <w:jc w:val="center"/>
              <w:rPr>
                <w:sz w:val="18"/>
                <w:szCs w:val="18"/>
              </w:rPr>
            </w:pPr>
            <w:r>
              <w:rPr>
                <w:sz w:val="18"/>
                <w:szCs w:val="18"/>
              </w:rPr>
              <w:t>22,0</w:t>
            </w:r>
            <w:r>
              <w:rPr>
                <w:rFonts w:cstheme="minorHAnsi"/>
                <w:sz w:val="18"/>
                <w:szCs w:val="18"/>
              </w:rPr>
              <w:t>±8,9</w:t>
            </w:r>
          </w:p>
        </w:tc>
        <w:tc>
          <w:tcPr>
            <w:tcW w:w="523" w:type="pct"/>
          </w:tcPr>
          <w:p w:rsidR="00E659A9" w:rsidRPr="0051775B" w:rsidRDefault="00E659A9" w:rsidP="001731FC">
            <w:pPr>
              <w:jc w:val="center"/>
              <w:rPr>
                <w:sz w:val="18"/>
                <w:szCs w:val="18"/>
              </w:rPr>
            </w:pPr>
            <w:r>
              <w:rPr>
                <w:sz w:val="18"/>
                <w:szCs w:val="18"/>
              </w:rPr>
              <w:t>24,3</w:t>
            </w:r>
            <w:r>
              <w:rPr>
                <w:rFonts w:cstheme="minorHAnsi"/>
                <w:sz w:val="18"/>
                <w:szCs w:val="18"/>
              </w:rPr>
              <w:t>±11,4</w:t>
            </w:r>
          </w:p>
        </w:tc>
        <w:tc>
          <w:tcPr>
            <w:tcW w:w="597" w:type="pct"/>
          </w:tcPr>
          <w:p w:rsidR="00E659A9" w:rsidRPr="0051775B" w:rsidRDefault="00E659A9" w:rsidP="001731FC">
            <w:pPr>
              <w:jc w:val="center"/>
              <w:rPr>
                <w:sz w:val="18"/>
                <w:szCs w:val="18"/>
              </w:rPr>
            </w:pPr>
            <w:r>
              <w:rPr>
                <w:sz w:val="18"/>
                <w:szCs w:val="18"/>
              </w:rPr>
              <w:t>30,4</w:t>
            </w:r>
            <w:r>
              <w:rPr>
                <w:rFonts w:cstheme="minorHAnsi"/>
                <w:sz w:val="18"/>
                <w:szCs w:val="18"/>
              </w:rPr>
              <w:t>±6,1</w:t>
            </w:r>
          </w:p>
        </w:tc>
        <w:tc>
          <w:tcPr>
            <w:tcW w:w="597" w:type="pct"/>
          </w:tcPr>
          <w:p w:rsidR="00E659A9" w:rsidRPr="0051775B" w:rsidRDefault="00E659A9" w:rsidP="001731FC">
            <w:pPr>
              <w:jc w:val="center"/>
              <w:rPr>
                <w:sz w:val="18"/>
                <w:szCs w:val="18"/>
              </w:rPr>
            </w:pPr>
            <w:r>
              <w:rPr>
                <w:sz w:val="18"/>
                <w:szCs w:val="18"/>
              </w:rPr>
              <w:t>34,1</w:t>
            </w:r>
            <w:r>
              <w:rPr>
                <w:rFonts w:cstheme="minorHAnsi"/>
                <w:sz w:val="18"/>
                <w:szCs w:val="18"/>
              </w:rPr>
              <w:t>±9,5</w:t>
            </w:r>
          </w:p>
        </w:tc>
        <w:tc>
          <w:tcPr>
            <w:tcW w:w="597" w:type="pct"/>
          </w:tcPr>
          <w:p w:rsidR="00E659A9" w:rsidRPr="0051775B" w:rsidRDefault="00E659A9" w:rsidP="001731FC">
            <w:pPr>
              <w:jc w:val="center"/>
              <w:rPr>
                <w:sz w:val="18"/>
                <w:szCs w:val="18"/>
              </w:rPr>
            </w:pPr>
            <w:r>
              <w:rPr>
                <w:sz w:val="18"/>
                <w:szCs w:val="18"/>
              </w:rPr>
              <w:t>27,4</w:t>
            </w:r>
            <w:r>
              <w:rPr>
                <w:rFonts w:cstheme="minorHAnsi"/>
                <w:sz w:val="18"/>
                <w:szCs w:val="18"/>
              </w:rPr>
              <w:t>±5,5</w:t>
            </w:r>
          </w:p>
        </w:tc>
        <w:tc>
          <w:tcPr>
            <w:tcW w:w="597" w:type="pct"/>
          </w:tcPr>
          <w:p w:rsidR="00E659A9" w:rsidRPr="0051775B" w:rsidRDefault="00E659A9" w:rsidP="001731FC">
            <w:pPr>
              <w:jc w:val="center"/>
              <w:rPr>
                <w:sz w:val="18"/>
                <w:szCs w:val="18"/>
              </w:rPr>
            </w:pPr>
            <w:r>
              <w:rPr>
                <w:sz w:val="18"/>
                <w:szCs w:val="18"/>
              </w:rPr>
              <w:t>26,7</w:t>
            </w:r>
            <w:r>
              <w:rPr>
                <w:rFonts w:cstheme="minorHAnsi"/>
                <w:sz w:val="18"/>
                <w:szCs w:val="18"/>
              </w:rPr>
              <w:t>±11,3</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HPV)PCA cont.</w:t>
            </w:r>
          </w:p>
        </w:tc>
        <w:tc>
          <w:tcPr>
            <w:tcW w:w="522" w:type="pct"/>
          </w:tcPr>
          <w:p w:rsidR="00E659A9" w:rsidRPr="0051775B" w:rsidRDefault="00E659A9" w:rsidP="001731FC">
            <w:pPr>
              <w:jc w:val="center"/>
              <w:rPr>
                <w:sz w:val="18"/>
                <w:szCs w:val="18"/>
              </w:rPr>
            </w:pPr>
            <w:r>
              <w:rPr>
                <w:sz w:val="18"/>
                <w:szCs w:val="18"/>
              </w:rPr>
              <w:t>23,5</w:t>
            </w:r>
            <w:r>
              <w:rPr>
                <w:rFonts w:cstheme="minorHAnsi"/>
                <w:sz w:val="18"/>
                <w:szCs w:val="18"/>
              </w:rPr>
              <w:t>±7,7</w:t>
            </w:r>
          </w:p>
        </w:tc>
        <w:tc>
          <w:tcPr>
            <w:tcW w:w="523" w:type="pct"/>
          </w:tcPr>
          <w:p w:rsidR="00E659A9" w:rsidRPr="0051775B" w:rsidRDefault="00E659A9" w:rsidP="001731FC">
            <w:pPr>
              <w:jc w:val="center"/>
              <w:rPr>
                <w:sz w:val="18"/>
                <w:szCs w:val="18"/>
              </w:rPr>
            </w:pPr>
            <w:r>
              <w:rPr>
                <w:sz w:val="18"/>
                <w:szCs w:val="18"/>
              </w:rPr>
              <w:t>28,8</w:t>
            </w:r>
            <w:r>
              <w:rPr>
                <w:rFonts w:cstheme="minorHAnsi"/>
                <w:sz w:val="18"/>
                <w:szCs w:val="18"/>
              </w:rPr>
              <w:t>±10,6</w:t>
            </w:r>
          </w:p>
        </w:tc>
        <w:tc>
          <w:tcPr>
            <w:tcW w:w="597" w:type="pct"/>
          </w:tcPr>
          <w:p w:rsidR="00E659A9" w:rsidRPr="0051775B" w:rsidRDefault="00E659A9" w:rsidP="001731FC">
            <w:pPr>
              <w:jc w:val="center"/>
              <w:rPr>
                <w:sz w:val="18"/>
                <w:szCs w:val="18"/>
              </w:rPr>
            </w:pPr>
            <w:r>
              <w:rPr>
                <w:sz w:val="18"/>
                <w:szCs w:val="18"/>
              </w:rPr>
              <w:t>24,0</w:t>
            </w:r>
            <w:r>
              <w:rPr>
                <w:rFonts w:cstheme="minorHAnsi"/>
                <w:sz w:val="18"/>
                <w:szCs w:val="18"/>
              </w:rPr>
              <w:t>±11,1</w:t>
            </w:r>
          </w:p>
        </w:tc>
        <w:tc>
          <w:tcPr>
            <w:tcW w:w="597" w:type="pct"/>
          </w:tcPr>
          <w:p w:rsidR="00E659A9" w:rsidRPr="0051775B" w:rsidRDefault="00E659A9" w:rsidP="001731FC">
            <w:pPr>
              <w:jc w:val="center"/>
              <w:rPr>
                <w:sz w:val="18"/>
                <w:szCs w:val="18"/>
              </w:rPr>
            </w:pPr>
            <w:r>
              <w:rPr>
                <w:sz w:val="18"/>
                <w:szCs w:val="18"/>
              </w:rPr>
              <w:t>30,9</w:t>
            </w:r>
            <w:r>
              <w:rPr>
                <w:rFonts w:cstheme="minorHAnsi"/>
                <w:sz w:val="18"/>
                <w:szCs w:val="18"/>
              </w:rPr>
              <w:t>±3,6</w:t>
            </w:r>
          </w:p>
        </w:tc>
        <w:tc>
          <w:tcPr>
            <w:tcW w:w="597" w:type="pct"/>
          </w:tcPr>
          <w:p w:rsidR="00E659A9" w:rsidRPr="0051775B" w:rsidRDefault="00E659A9" w:rsidP="001731FC">
            <w:pPr>
              <w:jc w:val="center"/>
              <w:rPr>
                <w:sz w:val="18"/>
                <w:szCs w:val="18"/>
              </w:rPr>
            </w:pPr>
            <w:r>
              <w:rPr>
                <w:sz w:val="18"/>
                <w:szCs w:val="18"/>
              </w:rPr>
              <w:t>27,1</w:t>
            </w:r>
            <w:r>
              <w:rPr>
                <w:rFonts w:cstheme="minorHAnsi"/>
                <w:sz w:val="18"/>
                <w:szCs w:val="18"/>
              </w:rPr>
              <w:t>±6,9</w:t>
            </w:r>
          </w:p>
        </w:tc>
        <w:tc>
          <w:tcPr>
            <w:tcW w:w="597" w:type="pct"/>
          </w:tcPr>
          <w:p w:rsidR="00E659A9" w:rsidRPr="0051775B" w:rsidRDefault="00E659A9" w:rsidP="001731FC">
            <w:pPr>
              <w:jc w:val="center"/>
              <w:rPr>
                <w:sz w:val="18"/>
                <w:szCs w:val="18"/>
              </w:rPr>
            </w:pPr>
            <w:r>
              <w:rPr>
                <w:sz w:val="18"/>
                <w:szCs w:val="18"/>
              </w:rPr>
              <w:t>29,4</w:t>
            </w:r>
            <w:r>
              <w:rPr>
                <w:rFonts w:cstheme="minorHAnsi"/>
                <w:sz w:val="18"/>
                <w:szCs w:val="18"/>
              </w:rPr>
              <w:t>±11,4</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0,606</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0,324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0,398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0,935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0,501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25,6</w:t>
            </w:r>
            <w:r>
              <w:rPr>
                <w:rFonts w:cstheme="minorHAnsi"/>
                <w:sz w:val="18"/>
                <w:szCs w:val="18"/>
              </w:rPr>
              <w:t>±10,0</w:t>
            </w:r>
          </w:p>
        </w:tc>
        <w:tc>
          <w:tcPr>
            <w:tcW w:w="523" w:type="pct"/>
          </w:tcPr>
          <w:p w:rsidR="00E659A9" w:rsidRPr="0051775B" w:rsidRDefault="00E659A9" w:rsidP="001731FC">
            <w:pPr>
              <w:jc w:val="center"/>
              <w:rPr>
                <w:sz w:val="18"/>
                <w:szCs w:val="18"/>
              </w:rPr>
            </w:pPr>
            <w:r>
              <w:rPr>
                <w:sz w:val="18"/>
                <w:szCs w:val="18"/>
              </w:rPr>
              <w:t>26,9</w:t>
            </w:r>
            <w:r>
              <w:rPr>
                <w:rFonts w:cstheme="minorHAnsi"/>
                <w:sz w:val="18"/>
                <w:szCs w:val="18"/>
              </w:rPr>
              <w:t>±5,3</w:t>
            </w:r>
          </w:p>
        </w:tc>
        <w:tc>
          <w:tcPr>
            <w:tcW w:w="597" w:type="pct"/>
          </w:tcPr>
          <w:p w:rsidR="00E659A9" w:rsidRPr="0051775B" w:rsidRDefault="00E659A9" w:rsidP="001731FC">
            <w:pPr>
              <w:jc w:val="center"/>
              <w:rPr>
                <w:sz w:val="18"/>
                <w:szCs w:val="18"/>
              </w:rPr>
            </w:pPr>
            <w:r>
              <w:rPr>
                <w:sz w:val="18"/>
                <w:szCs w:val="18"/>
              </w:rPr>
              <w:t>25,9</w:t>
            </w:r>
            <w:r>
              <w:rPr>
                <w:rFonts w:cstheme="minorHAnsi"/>
                <w:sz w:val="18"/>
                <w:szCs w:val="18"/>
              </w:rPr>
              <w:t>±6,0</w:t>
            </w:r>
          </w:p>
        </w:tc>
        <w:tc>
          <w:tcPr>
            <w:tcW w:w="597" w:type="pct"/>
          </w:tcPr>
          <w:p w:rsidR="00E659A9" w:rsidRPr="0051775B" w:rsidRDefault="00E659A9" w:rsidP="001731FC">
            <w:pPr>
              <w:jc w:val="center"/>
              <w:rPr>
                <w:sz w:val="18"/>
                <w:szCs w:val="18"/>
              </w:rPr>
            </w:pPr>
            <w:r>
              <w:rPr>
                <w:sz w:val="18"/>
                <w:szCs w:val="18"/>
              </w:rPr>
              <w:t>32,1</w:t>
            </w:r>
            <w:r>
              <w:rPr>
                <w:rFonts w:cstheme="minorHAnsi"/>
                <w:sz w:val="18"/>
                <w:szCs w:val="18"/>
              </w:rPr>
              <w:t>±9,6</w:t>
            </w:r>
          </w:p>
        </w:tc>
        <w:tc>
          <w:tcPr>
            <w:tcW w:w="597" w:type="pct"/>
          </w:tcPr>
          <w:p w:rsidR="00E659A9" w:rsidRPr="0051775B" w:rsidRDefault="00E659A9" w:rsidP="001731FC">
            <w:pPr>
              <w:jc w:val="center"/>
              <w:rPr>
                <w:sz w:val="18"/>
                <w:szCs w:val="18"/>
              </w:rPr>
            </w:pPr>
            <w:r>
              <w:rPr>
                <w:sz w:val="18"/>
                <w:szCs w:val="18"/>
              </w:rPr>
              <w:t>26,</w:t>
            </w:r>
            <w:r>
              <w:rPr>
                <w:rFonts w:cstheme="minorHAnsi"/>
                <w:sz w:val="18"/>
                <w:szCs w:val="18"/>
              </w:rPr>
              <w:t>9±7,5</w:t>
            </w:r>
          </w:p>
        </w:tc>
        <w:tc>
          <w:tcPr>
            <w:tcW w:w="597" w:type="pct"/>
          </w:tcPr>
          <w:p w:rsidR="00E659A9" w:rsidRPr="0051775B" w:rsidRDefault="00E659A9" w:rsidP="001731FC">
            <w:pPr>
              <w:jc w:val="center"/>
              <w:rPr>
                <w:sz w:val="18"/>
                <w:szCs w:val="18"/>
              </w:rPr>
            </w:pPr>
            <w:r>
              <w:rPr>
                <w:sz w:val="18"/>
                <w:szCs w:val="18"/>
              </w:rPr>
              <w:t>23,8</w:t>
            </w:r>
            <w:r>
              <w:rPr>
                <w:rFonts w:cstheme="minorHAnsi"/>
                <w:sz w:val="18"/>
                <w:szCs w:val="18"/>
              </w:rPr>
              <w:t>±9,2</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w:t>
            </w:r>
            <w:r w:rsidRPr="0051775B">
              <w:rPr>
                <w:sz w:val="18"/>
                <w:szCs w:val="18"/>
              </w:rPr>
              <w:t xml:space="preserve"> </w:t>
            </w:r>
            <w:r>
              <w:rPr>
                <w:sz w:val="18"/>
                <w:szCs w:val="18"/>
              </w:rPr>
              <w:t>M</w:t>
            </w:r>
            <w:r w:rsidRPr="0051775B">
              <w:rPr>
                <w:sz w:val="18"/>
                <w:szCs w:val="18"/>
              </w:rPr>
              <w:t>CA all</w:t>
            </w:r>
          </w:p>
        </w:tc>
        <w:tc>
          <w:tcPr>
            <w:tcW w:w="522" w:type="pct"/>
          </w:tcPr>
          <w:p w:rsidR="00E659A9" w:rsidRPr="0051775B" w:rsidRDefault="00E659A9" w:rsidP="001731FC">
            <w:pPr>
              <w:jc w:val="center"/>
              <w:rPr>
                <w:sz w:val="18"/>
                <w:szCs w:val="18"/>
              </w:rPr>
            </w:pPr>
            <w:r>
              <w:rPr>
                <w:sz w:val="18"/>
                <w:szCs w:val="18"/>
              </w:rPr>
              <w:t>29,7</w:t>
            </w:r>
            <w:r>
              <w:rPr>
                <w:rFonts w:cstheme="minorHAnsi"/>
                <w:sz w:val="18"/>
                <w:szCs w:val="18"/>
              </w:rPr>
              <w:t>±7,7</w:t>
            </w:r>
          </w:p>
        </w:tc>
        <w:tc>
          <w:tcPr>
            <w:tcW w:w="523" w:type="pct"/>
          </w:tcPr>
          <w:p w:rsidR="00E659A9" w:rsidRPr="0051775B" w:rsidRDefault="00E659A9" w:rsidP="001731FC">
            <w:pPr>
              <w:jc w:val="center"/>
              <w:rPr>
                <w:sz w:val="18"/>
                <w:szCs w:val="18"/>
              </w:rPr>
            </w:pPr>
            <w:r>
              <w:rPr>
                <w:sz w:val="18"/>
                <w:szCs w:val="18"/>
              </w:rPr>
              <w:t>25,0</w:t>
            </w:r>
            <w:r>
              <w:rPr>
                <w:rFonts w:cstheme="minorHAnsi"/>
                <w:sz w:val="18"/>
                <w:szCs w:val="18"/>
              </w:rPr>
              <w:t>±8,1</w:t>
            </w:r>
          </w:p>
        </w:tc>
        <w:tc>
          <w:tcPr>
            <w:tcW w:w="597" w:type="pct"/>
          </w:tcPr>
          <w:p w:rsidR="00E659A9" w:rsidRPr="0051775B" w:rsidRDefault="00E659A9" w:rsidP="001731FC">
            <w:pPr>
              <w:jc w:val="center"/>
              <w:rPr>
                <w:sz w:val="18"/>
                <w:szCs w:val="18"/>
              </w:rPr>
            </w:pPr>
            <w:r>
              <w:rPr>
                <w:sz w:val="18"/>
                <w:szCs w:val="18"/>
              </w:rPr>
              <w:t>24,8</w:t>
            </w:r>
            <w:r>
              <w:rPr>
                <w:rFonts w:cstheme="minorHAnsi"/>
                <w:sz w:val="18"/>
                <w:szCs w:val="18"/>
              </w:rPr>
              <w:t>±5,5</w:t>
            </w:r>
          </w:p>
        </w:tc>
        <w:tc>
          <w:tcPr>
            <w:tcW w:w="597" w:type="pct"/>
          </w:tcPr>
          <w:p w:rsidR="00E659A9" w:rsidRPr="0051775B" w:rsidRDefault="00E659A9" w:rsidP="001731FC">
            <w:pPr>
              <w:jc w:val="center"/>
              <w:rPr>
                <w:sz w:val="18"/>
                <w:szCs w:val="18"/>
              </w:rPr>
            </w:pPr>
            <w:r>
              <w:rPr>
                <w:sz w:val="18"/>
                <w:szCs w:val="18"/>
              </w:rPr>
              <w:t>38,8</w:t>
            </w:r>
            <w:r>
              <w:rPr>
                <w:rFonts w:cstheme="minorHAnsi"/>
                <w:sz w:val="18"/>
                <w:szCs w:val="18"/>
              </w:rPr>
              <w:t>±17,9</w:t>
            </w:r>
          </w:p>
        </w:tc>
        <w:tc>
          <w:tcPr>
            <w:tcW w:w="597" w:type="pct"/>
          </w:tcPr>
          <w:p w:rsidR="00E659A9" w:rsidRPr="0051775B" w:rsidRDefault="00E659A9" w:rsidP="001731FC">
            <w:pPr>
              <w:jc w:val="center"/>
              <w:rPr>
                <w:sz w:val="18"/>
                <w:szCs w:val="18"/>
              </w:rPr>
            </w:pPr>
            <w:r>
              <w:rPr>
                <w:sz w:val="18"/>
                <w:szCs w:val="18"/>
              </w:rPr>
              <w:t>30,7</w:t>
            </w:r>
            <w:r>
              <w:rPr>
                <w:rFonts w:cstheme="minorHAnsi"/>
                <w:sz w:val="18"/>
                <w:szCs w:val="18"/>
              </w:rPr>
              <w:t>±4,6</w:t>
            </w:r>
          </w:p>
        </w:tc>
        <w:tc>
          <w:tcPr>
            <w:tcW w:w="597" w:type="pct"/>
          </w:tcPr>
          <w:p w:rsidR="00E659A9" w:rsidRPr="0051775B" w:rsidRDefault="00E659A9" w:rsidP="001731FC">
            <w:pPr>
              <w:jc w:val="center"/>
              <w:rPr>
                <w:sz w:val="18"/>
                <w:szCs w:val="18"/>
              </w:rPr>
            </w:pPr>
            <w:r>
              <w:rPr>
                <w:sz w:val="18"/>
                <w:szCs w:val="18"/>
              </w:rPr>
              <w:t>28,1</w:t>
            </w:r>
            <w:r>
              <w:rPr>
                <w:rFonts w:cstheme="minorHAnsi"/>
                <w:sz w:val="18"/>
                <w:szCs w:val="18"/>
              </w:rPr>
              <w:t>±7,5</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0,124</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0,437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0,645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0,416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0,121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0,082</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MCA ipsil.</w:t>
            </w:r>
          </w:p>
        </w:tc>
        <w:tc>
          <w:tcPr>
            <w:tcW w:w="522" w:type="pct"/>
          </w:tcPr>
          <w:p w:rsidR="00E659A9" w:rsidRPr="0051775B" w:rsidRDefault="00E659A9" w:rsidP="001731FC">
            <w:pPr>
              <w:jc w:val="center"/>
              <w:rPr>
                <w:sz w:val="18"/>
                <w:szCs w:val="18"/>
              </w:rPr>
            </w:pPr>
            <w:r>
              <w:rPr>
                <w:sz w:val="18"/>
                <w:szCs w:val="18"/>
              </w:rPr>
              <w:t>25,3</w:t>
            </w:r>
            <w:r>
              <w:rPr>
                <w:rFonts w:cstheme="minorHAnsi"/>
                <w:sz w:val="18"/>
                <w:szCs w:val="18"/>
              </w:rPr>
              <w:t>±13,6</w:t>
            </w:r>
          </w:p>
        </w:tc>
        <w:tc>
          <w:tcPr>
            <w:tcW w:w="523" w:type="pct"/>
          </w:tcPr>
          <w:p w:rsidR="00E659A9" w:rsidRPr="0051775B" w:rsidRDefault="00E659A9" w:rsidP="001731FC">
            <w:pPr>
              <w:jc w:val="center"/>
              <w:rPr>
                <w:sz w:val="18"/>
                <w:szCs w:val="18"/>
              </w:rPr>
            </w:pPr>
            <w:r>
              <w:rPr>
                <w:sz w:val="18"/>
                <w:szCs w:val="18"/>
              </w:rPr>
              <w:t>27,9</w:t>
            </w:r>
            <w:r>
              <w:rPr>
                <w:rFonts w:cstheme="minorHAnsi"/>
                <w:sz w:val="18"/>
                <w:szCs w:val="18"/>
              </w:rPr>
              <w:t>±6,1</w:t>
            </w:r>
          </w:p>
        </w:tc>
        <w:tc>
          <w:tcPr>
            <w:tcW w:w="597" w:type="pct"/>
          </w:tcPr>
          <w:p w:rsidR="00E659A9" w:rsidRPr="0051775B" w:rsidRDefault="00E659A9" w:rsidP="001731FC">
            <w:pPr>
              <w:jc w:val="center"/>
              <w:rPr>
                <w:sz w:val="18"/>
                <w:szCs w:val="18"/>
              </w:rPr>
            </w:pPr>
            <w:r>
              <w:rPr>
                <w:sz w:val="18"/>
                <w:szCs w:val="18"/>
              </w:rPr>
              <w:t>24,2</w:t>
            </w:r>
            <w:r>
              <w:rPr>
                <w:rFonts w:cstheme="minorHAnsi"/>
                <w:sz w:val="18"/>
                <w:szCs w:val="18"/>
              </w:rPr>
              <w:t>±6,5</w:t>
            </w:r>
          </w:p>
        </w:tc>
        <w:tc>
          <w:tcPr>
            <w:tcW w:w="597" w:type="pct"/>
          </w:tcPr>
          <w:p w:rsidR="00E659A9" w:rsidRPr="0051775B" w:rsidRDefault="00E659A9" w:rsidP="001731FC">
            <w:pPr>
              <w:jc w:val="center"/>
              <w:rPr>
                <w:sz w:val="18"/>
                <w:szCs w:val="18"/>
              </w:rPr>
            </w:pPr>
            <w:r>
              <w:rPr>
                <w:sz w:val="18"/>
                <w:szCs w:val="18"/>
              </w:rPr>
              <w:t>35,0</w:t>
            </w:r>
            <w:r>
              <w:rPr>
                <w:rFonts w:cstheme="minorHAnsi"/>
                <w:sz w:val="18"/>
                <w:szCs w:val="18"/>
              </w:rPr>
              <w:t>±9,3</w:t>
            </w:r>
          </w:p>
        </w:tc>
        <w:tc>
          <w:tcPr>
            <w:tcW w:w="597" w:type="pct"/>
          </w:tcPr>
          <w:p w:rsidR="00E659A9" w:rsidRPr="0051775B" w:rsidRDefault="00E659A9" w:rsidP="001731FC">
            <w:pPr>
              <w:jc w:val="center"/>
              <w:rPr>
                <w:sz w:val="18"/>
                <w:szCs w:val="18"/>
              </w:rPr>
            </w:pPr>
            <w:r>
              <w:rPr>
                <w:sz w:val="18"/>
                <w:szCs w:val="18"/>
              </w:rPr>
              <w:t>27,8</w:t>
            </w:r>
            <w:r>
              <w:rPr>
                <w:rFonts w:cstheme="minorHAnsi"/>
                <w:sz w:val="18"/>
                <w:szCs w:val="18"/>
              </w:rPr>
              <w:t>±8,7</w:t>
            </w:r>
          </w:p>
        </w:tc>
        <w:tc>
          <w:tcPr>
            <w:tcW w:w="597" w:type="pct"/>
          </w:tcPr>
          <w:p w:rsidR="00E659A9" w:rsidRPr="0051775B" w:rsidRDefault="00E659A9" w:rsidP="001731FC">
            <w:pPr>
              <w:jc w:val="center"/>
              <w:rPr>
                <w:sz w:val="18"/>
                <w:szCs w:val="18"/>
              </w:rPr>
            </w:pPr>
            <w:r>
              <w:rPr>
                <w:sz w:val="18"/>
                <w:szCs w:val="18"/>
              </w:rPr>
              <w:t>24,6</w:t>
            </w:r>
            <w:r>
              <w:rPr>
                <w:rFonts w:cstheme="minorHAnsi"/>
                <w:sz w:val="18"/>
                <w:szCs w:val="18"/>
              </w:rPr>
              <w:t>±8,2</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w:t>
            </w:r>
            <w:r>
              <w:rPr>
                <w:sz w:val="18"/>
                <w:szCs w:val="18"/>
              </w:rPr>
              <w:sym w:font="Symbol" w:char="F0AF"/>
            </w:r>
            <w:r w:rsidRPr="0051775B">
              <w:rPr>
                <w:sz w:val="18"/>
                <w:szCs w:val="18"/>
              </w:rPr>
              <w:t xml:space="preserve"> </w:t>
            </w:r>
            <w:r>
              <w:rPr>
                <w:sz w:val="18"/>
                <w:szCs w:val="18"/>
              </w:rPr>
              <w:t>HPV MCA ips.</w:t>
            </w:r>
          </w:p>
        </w:tc>
        <w:tc>
          <w:tcPr>
            <w:tcW w:w="522" w:type="pct"/>
          </w:tcPr>
          <w:p w:rsidR="00E659A9" w:rsidRPr="0051775B" w:rsidRDefault="00E659A9" w:rsidP="001731FC">
            <w:pPr>
              <w:jc w:val="center"/>
              <w:rPr>
                <w:sz w:val="18"/>
                <w:szCs w:val="18"/>
              </w:rPr>
            </w:pPr>
            <w:r>
              <w:rPr>
                <w:sz w:val="18"/>
                <w:szCs w:val="18"/>
              </w:rPr>
              <w:t>31,3</w:t>
            </w:r>
            <w:r>
              <w:rPr>
                <w:rFonts w:cstheme="minorHAnsi"/>
                <w:sz w:val="18"/>
                <w:szCs w:val="18"/>
              </w:rPr>
              <w:t>±8,1</w:t>
            </w:r>
          </w:p>
        </w:tc>
        <w:tc>
          <w:tcPr>
            <w:tcW w:w="523" w:type="pct"/>
          </w:tcPr>
          <w:p w:rsidR="00E659A9" w:rsidRPr="0051775B" w:rsidRDefault="00E659A9" w:rsidP="001731FC">
            <w:pPr>
              <w:jc w:val="center"/>
              <w:rPr>
                <w:sz w:val="18"/>
                <w:szCs w:val="18"/>
              </w:rPr>
            </w:pPr>
            <w:r>
              <w:rPr>
                <w:sz w:val="18"/>
                <w:szCs w:val="18"/>
              </w:rPr>
              <w:t>24,9</w:t>
            </w:r>
            <w:r>
              <w:rPr>
                <w:rFonts w:cstheme="minorHAnsi"/>
                <w:sz w:val="18"/>
                <w:szCs w:val="18"/>
              </w:rPr>
              <w:t>±6,1</w:t>
            </w:r>
          </w:p>
        </w:tc>
        <w:tc>
          <w:tcPr>
            <w:tcW w:w="597" w:type="pct"/>
          </w:tcPr>
          <w:p w:rsidR="00E659A9" w:rsidRPr="0051775B" w:rsidRDefault="00E659A9" w:rsidP="001731FC">
            <w:pPr>
              <w:jc w:val="center"/>
              <w:rPr>
                <w:sz w:val="18"/>
                <w:szCs w:val="18"/>
              </w:rPr>
            </w:pPr>
            <w:r>
              <w:rPr>
                <w:sz w:val="18"/>
                <w:szCs w:val="18"/>
              </w:rPr>
              <w:t>23,0</w:t>
            </w:r>
            <w:r>
              <w:rPr>
                <w:rFonts w:cstheme="minorHAnsi"/>
                <w:sz w:val="18"/>
                <w:szCs w:val="18"/>
              </w:rPr>
              <w:t>±3,9</w:t>
            </w:r>
          </w:p>
        </w:tc>
        <w:tc>
          <w:tcPr>
            <w:tcW w:w="597" w:type="pct"/>
          </w:tcPr>
          <w:p w:rsidR="00E659A9" w:rsidRPr="0051775B" w:rsidRDefault="00E659A9" w:rsidP="001731FC">
            <w:pPr>
              <w:jc w:val="center"/>
              <w:rPr>
                <w:sz w:val="18"/>
                <w:szCs w:val="18"/>
              </w:rPr>
            </w:pPr>
            <w:r>
              <w:rPr>
                <w:sz w:val="18"/>
                <w:szCs w:val="18"/>
              </w:rPr>
              <w:t>30,2</w:t>
            </w:r>
            <w:r>
              <w:rPr>
                <w:rFonts w:cstheme="minorHAnsi"/>
                <w:sz w:val="18"/>
                <w:szCs w:val="18"/>
              </w:rPr>
              <w:t>±11,4</w:t>
            </w:r>
          </w:p>
        </w:tc>
        <w:tc>
          <w:tcPr>
            <w:tcW w:w="597" w:type="pct"/>
          </w:tcPr>
          <w:p w:rsidR="00E659A9" w:rsidRPr="0051775B" w:rsidRDefault="00E659A9" w:rsidP="001731FC">
            <w:pPr>
              <w:jc w:val="center"/>
              <w:rPr>
                <w:sz w:val="18"/>
                <w:szCs w:val="18"/>
              </w:rPr>
            </w:pPr>
            <w:r>
              <w:rPr>
                <w:sz w:val="18"/>
                <w:szCs w:val="18"/>
              </w:rPr>
              <w:t>31,4</w:t>
            </w:r>
            <w:r>
              <w:rPr>
                <w:rFonts w:cstheme="minorHAnsi"/>
                <w:sz w:val="18"/>
                <w:szCs w:val="18"/>
              </w:rPr>
              <w:t>±5,4</w:t>
            </w:r>
          </w:p>
        </w:tc>
        <w:tc>
          <w:tcPr>
            <w:tcW w:w="597" w:type="pct"/>
          </w:tcPr>
          <w:p w:rsidR="00E659A9" w:rsidRPr="0051775B" w:rsidRDefault="00E659A9" w:rsidP="001731FC">
            <w:pPr>
              <w:jc w:val="center"/>
              <w:rPr>
                <w:sz w:val="18"/>
                <w:szCs w:val="18"/>
              </w:rPr>
            </w:pPr>
            <w:r>
              <w:rPr>
                <w:sz w:val="18"/>
                <w:szCs w:val="18"/>
              </w:rPr>
              <w:t>28,7</w:t>
            </w:r>
            <w:r>
              <w:rPr>
                <w:rFonts w:cstheme="minorHAnsi"/>
                <w:sz w:val="18"/>
                <w:szCs w:val="18"/>
              </w:rPr>
              <w:t>±9,6</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sidRPr="0051775B">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0,164</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0,254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0,655</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0,172</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0,101</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PRE-BUBBLE </w:t>
            </w:r>
            <w:r>
              <w:rPr>
                <w:sz w:val="18"/>
                <w:szCs w:val="18"/>
              </w:rPr>
              <w:t>%</w:t>
            </w:r>
            <w:r>
              <w:rPr>
                <w:sz w:val="18"/>
                <w:szCs w:val="18"/>
              </w:rPr>
              <w:sym w:font="Symbol" w:char="F0AF"/>
            </w:r>
            <w:r w:rsidRPr="0051775B">
              <w:rPr>
                <w:sz w:val="18"/>
                <w:szCs w:val="18"/>
              </w:rPr>
              <w:t xml:space="preserve"> </w:t>
            </w:r>
            <w:r>
              <w:rPr>
                <w:sz w:val="18"/>
                <w:szCs w:val="18"/>
              </w:rPr>
              <w:t>HPV MCA con.</w:t>
            </w:r>
          </w:p>
        </w:tc>
        <w:tc>
          <w:tcPr>
            <w:tcW w:w="522" w:type="pct"/>
          </w:tcPr>
          <w:p w:rsidR="00E659A9" w:rsidRPr="0051775B" w:rsidRDefault="00E659A9" w:rsidP="001731FC">
            <w:pPr>
              <w:jc w:val="center"/>
              <w:rPr>
                <w:sz w:val="18"/>
                <w:szCs w:val="18"/>
              </w:rPr>
            </w:pPr>
            <w:r>
              <w:rPr>
                <w:sz w:val="18"/>
                <w:szCs w:val="18"/>
              </w:rPr>
              <w:t>25,8</w:t>
            </w:r>
            <w:r>
              <w:rPr>
                <w:rFonts w:cstheme="minorHAnsi"/>
                <w:sz w:val="18"/>
                <w:szCs w:val="18"/>
              </w:rPr>
              <w:t>±8,2</w:t>
            </w:r>
          </w:p>
        </w:tc>
        <w:tc>
          <w:tcPr>
            <w:tcW w:w="523" w:type="pct"/>
          </w:tcPr>
          <w:p w:rsidR="00E659A9" w:rsidRPr="0051775B" w:rsidRDefault="00E659A9" w:rsidP="001731FC">
            <w:pPr>
              <w:jc w:val="center"/>
              <w:rPr>
                <w:sz w:val="18"/>
                <w:szCs w:val="18"/>
              </w:rPr>
            </w:pPr>
            <w:r>
              <w:rPr>
                <w:sz w:val="18"/>
                <w:szCs w:val="18"/>
              </w:rPr>
              <w:t>25,8</w:t>
            </w:r>
            <w:r>
              <w:rPr>
                <w:rFonts w:cstheme="minorHAnsi"/>
                <w:sz w:val="18"/>
                <w:szCs w:val="18"/>
              </w:rPr>
              <w:t>±5,4</w:t>
            </w:r>
          </w:p>
        </w:tc>
        <w:tc>
          <w:tcPr>
            <w:tcW w:w="597" w:type="pct"/>
          </w:tcPr>
          <w:p w:rsidR="00E659A9" w:rsidRPr="0051775B" w:rsidRDefault="00E659A9" w:rsidP="001731FC">
            <w:pPr>
              <w:jc w:val="center"/>
              <w:rPr>
                <w:sz w:val="18"/>
                <w:szCs w:val="18"/>
              </w:rPr>
            </w:pPr>
            <w:r>
              <w:rPr>
                <w:sz w:val="18"/>
                <w:szCs w:val="18"/>
              </w:rPr>
              <w:t>26,8</w:t>
            </w:r>
            <w:r>
              <w:rPr>
                <w:rFonts w:cstheme="minorHAnsi"/>
                <w:sz w:val="18"/>
                <w:szCs w:val="18"/>
              </w:rPr>
              <w:t>±6,4</w:t>
            </w:r>
          </w:p>
        </w:tc>
        <w:tc>
          <w:tcPr>
            <w:tcW w:w="597" w:type="pct"/>
          </w:tcPr>
          <w:p w:rsidR="00E659A9" w:rsidRPr="0051775B" w:rsidRDefault="00E659A9" w:rsidP="001731FC">
            <w:pPr>
              <w:jc w:val="center"/>
              <w:rPr>
                <w:sz w:val="18"/>
                <w:szCs w:val="18"/>
              </w:rPr>
            </w:pPr>
            <w:r>
              <w:rPr>
                <w:sz w:val="18"/>
                <w:szCs w:val="18"/>
              </w:rPr>
              <w:t>34,8</w:t>
            </w:r>
            <w:r>
              <w:rPr>
                <w:rFonts w:cstheme="minorHAnsi"/>
                <w:sz w:val="18"/>
                <w:szCs w:val="18"/>
              </w:rPr>
              <w:t>±6,7</w:t>
            </w:r>
          </w:p>
        </w:tc>
        <w:tc>
          <w:tcPr>
            <w:tcW w:w="597" w:type="pct"/>
          </w:tcPr>
          <w:p w:rsidR="00E659A9" w:rsidRPr="0051775B" w:rsidRDefault="00E659A9" w:rsidP="001731FC">
            <w:pPr>
              <w:jc w:val="center"/>
              <w:rPr>
                <w:sz w:val="18"/>
                <w:szCs w:val="18"/>
              </w:rPr>
            </w:pPr>
            <w:r>
              <w:rPr>
                <w:sz w:val="18"/>
                <w:szCs w:val="18"/>
              </w:rPr>
              <w:t>26,0</w:t>
            </w:r>
            <w:r>
              <w:rPr>
                <w:rFonts w:cstheme="minorHAnsi"/>
                <w:sz w:val="18"/>
                <w:szCs w:val="18"/>
              </w:rPr>
              <w:t>±6,8</w:t>
            </w:r>
          </w:p>
        </w:tc>
        <w:tc>
          <w:tcPr>
            <w:tcW w:w="597" w:type="pct"/>
          </w:tcPr>
          <w:p w:rsidR="00E659A9" w:rsidRPr="0051775B" w:rsidRDefault="00E659A9" w:rsidP="001731FC">
            <w:pPr>
              <w:jc w:val="center"/>
              <w:rPr>
                <w:sz w:val="18"/>
                <w:szCs w:val="18"/>
              </w:rPr>
            </w:pPr>
            <w:r>
              <w:rPr>
                <w:sz w:val="18"/>
                <w:szCs w:val="18"/>
              </w:rPr>
              <w:t>23,0</w:t>
            </w:r>
            <w:r>
              <w:rPr>
                <w:rFonts w:cstheme="minorHAnsi"/>
                <w:sz w:val="18"/>
                <w:szCs w:val="18"/>
              </w:rPr>
              <w:t>±10,5</w:t>
            </w:r>
          </w:p>
        </w:tc>
      </w:tr>
      <w:tr w:rsidR="00E659A9" w:rsidRPr="0051775B" w:rsidTr="009E5AE5">
        <w:tc>
          <w:tcPr>
            <w:tcW w:w="1565" w:type="pct"/>
          </w:tcPr>
          <w:p w:rsidR="00E659A9" w:rsidRPr="0051775B" w:rsidRDefault="00E659A9" w:rsidP="001731FC">
            <w:pPr>
              <w:rPr>
                <w:sz w:val="18"/>
                <w:szCs w:val="18"/>
              </w:rPr>
            </w:pPr>
            <w:r w:rsidRPr="0051775B">
              <w:rPr>
                <w:sz w:val="18"/>
                <w:szCs w:val="18"/>
              </w:rPr>
              <w:t xml:space="preserve">POST-BUBBLE </w:t>
            </w:r>
            <w:r>
              <w:rPr>
                <w:sz w:val="18"/>
                <w:szCs w:val="18"/>
              </w:rPr>
              <w:t>HPV)MCA con.</w:t>
            </w:r>
          </w:p>
        </w:tc>
        <w:tc>
          <w:tcPr>
            <w:tcW w:w="522" w:type="pct"/>
          </w:tcPr>
          <w:p w:rsidR="00E659A9" w:rsidRPr="0051775B" w:rsidRDefault="00E659A9" w:rsidP="001731FC">
            <w:pPr>
              <w:jc w:val="center"/>
              <w:rPr>
                <w:sz w:val="18"/>
                <w:szCs w:val="18"/>
              </w:rPr>
            </w:pPr>
            <w:r>
              <w:rPr>
                <w:sz w:val="18"/>
                <w:szCs w:val="18"/>
              </w:rPr>
              <w:t>28,0</w:t>
            </w:r>
            <w:r>
              <w:rPr>
                <w:rFonts w:cstheme="minorHAnsi"/>
                <w:sz w:val="18"/>
                <w:szCs w:val="18"/>
              </w:rPr>
              <w:t>±7,7</w:t>
            </w:r>
          </w:p>
        </w:tc>
        <w:tc>
          <w:tcPr>
            <w:tcW w:w="523" w:type="pct"/>
          </w:tcPr>
          <w:p w:rsidR="00E659A9" w:rsidRPr="0051775B" w:rsidRDefault="00E659A9" w:rsidP="001731FC">
            <w:pPr>
              <w:jc w:val="center"/>
              <w:rPr>
                <w:sz w:val="18"/>
                <w:szCs w:val="18"/>
              </w:rPr>
            </w:pPr>
            <w:r>
              <w:rPr>
                <w:sz w:val="18"/>
                <w:szCs w:val="18"/>
              </w:rPr>
              <w:t>25,0</w:t>
            </w:r>
            <w:r>
              <w:rPr>
                <w:rFonts w:cstheme="minorHAnsi"/>
                <w:sz w:val="18"/>
                <w:szCs w:val="18"/>
              </w:rPr>
              <w:t>±7,4</w:t>
            </w:r>
          </w:p>
        </w:tc>
        <w:tc>
          <w:tcPr>
            <w:tcW w:w="597" w:type="pct"/>
          </w:tcPr>
          <w:p w:rsidR="00E659A9" w:rsidRPr="0051775B" w:rsidRDefault="00E659A9" w:rsidP="001731FC">
            <w:pPr>
              <w:jc w:val="center"/>
              <w:rPr>
                <w:sz w:val="18"/>
                <w:szCs w:val="18"/>
              </w:rPr>
            </w:pPr>
            <w:r>
              <w:rPr>
                <w:sz w:val="18"/>
                <w:szCs w:val="18"/>
              </w:rPr>
              <w:t>23,9</w:t>
            </w:r>
            <w:r>
              <w:rPr>
                <w:rFonts w:cstheme="minorHAnsi"/>
                <w:sz w:val="18"/>
                <w:szCs w:val="18"/>
              </w:rPr>
              <w:t>±4,6</w:t>
            </w:r>
          </w:p>
        </w:tc>
        <w:tc>
          <w:tcPr>
            <w:tcW w:w="597" w:type="pct"/>
          </w:tcPr>
          <w:p w:rsidR="00E659A9" w:rsidRPr="0051775B" w:rsidRDefault="00E659A9" w:rsidP="001731FC">
            <w:pPr>
              <w:jc w:val="center"/>
              <w:rPr>
                <w:sz w:val="18"/>
                <w:szCs w:val="18"/>
              </w:rPr>
            </w:pPr>
            <w:r>
              <w:rPr>
                <w:sz w:val="18"/>
                <w:szCs w:val="18"/>
              </w:rPr>
              <w:t>34,7</w:t>
            </w:r>
            <w:r>
              <w:rPr>
                <w:rFonts w:cstheme="minorHAnsi"/>
                <w:sz w:val="18"/>
                <w:szCs w:val="18"/>
              </w:rPr>
              <w:t>±7,0</w:t>
            </w:r>
          </w:p>
        </w:tc>
        <w:tc>
          <w:tcPr>
            <w:tcW w:w="597" w:type="pct"/>
          </w:tcPr>
          <w:p w:rsidR="00E659A9" w:rsidRPr="0051775B" w:rsidRDefault="00E659A9" w:rsidP="001731FC">
            <w:pPr>
              <w:jc w:val="center"/>
              <w:rPr>
                <w:sz w:val="18"/>
                <w:szCs w:val="18"/>
              </w:rPr>
            </w:pPr>
            <w:r>
              <w:rPr>
                <w:sz w:val="18"/>
                <w:szCs w:val="18"/>
              </w:rPr>
              <w:t>30,0</w:t>
            </w:r>
            <w:r>
              <w:rPr>
                <w:rFonts w:cstheme="minorHAnsi"/>
                <w:sz w:val="18"/>
                <w:szCs w:val="18"/>
              </w:rPr>
              <w:t>±5,8</w:t>
            </w:r>
          </w:p>
        </w:tc>
        <w:tc>
          <w:tcPr>
            <w:tcW w:w="597" w:type="pct"/>
          </w:tcPr>
          <w:p w:rsidR="00E659A9" w:rsidRPr="0051775B" w:rsidRDefault="00E659A9" w:rsidP="001731FC">
            <w:pPr>
              <w:jc w:val="center"/>
              <w:rPr>
                <w:sz w:val="18"/>
                <w:szCs w:val="18"/>
              </w:rPr>
            </w:pPr>
            <w:r>
              <w:rPr>
                <w:sz w:val="18"/>
                <w:szCs w:val="18"/>
              </w:rPr>
              <w:t>27,6</w:t>
            </w:r>
            <w:r>
              <w:rPr>
                <w:rFonts w:cstheme="minorHAnsi"/>
                <w:sz w:val="18"/>
                <w:szCs w:val="18"/>
              </w:rPr>
              <w:t>±6,8</w:t>
            </w:r>
          </w:p>
        </w:tc>
      </w:tr>
      <w:tr w:rsidR="00E659A9" w:rsidRPr="0051775B" w:rsidTr="009E5AE5">
        <w:tc>
          <w:tcPr>
            <w:tcW w:w="1565" w:type="pct"/>
            <w:shd w:val="clear" w:color="auto" w:fill="F2F2F2" w:themeFill="background1" w:themeFillShade="F2"/>
          </w:tcPr>
          <w:p w:rsidR="00E659A9" w:rsidRPr="0051775B" w:rsidRDefault="00E659A9" w:rsidP="001731FC">
            <w:pPr>
              <w:rPr>
                <w:sz w:val="18"/>
                <w:szCs w:val="18"/>
              </w:rPr>
            </w:pPr>
            <w:r>
              <w:rPr>
                <w:sz w:val="18"/>
                <w:szCs w:val="18"/>
              </w:rPr>
              <w:t>P</w:t>
            </w:r>
          </w:p>
        </w:tc>
        <w:tc>
          <w:tcPr>
            <w:tcW w:w="522" w:type="pct"/>
            <w:shd w:val="clear" w:color="auto" w:fill="F2F2F2" w:themeFill="background1" w:themeFillShade="F2"/>
          </w:tcPr>
          <w:p w:rsidR="00E659A9" w:rsidRPr="0051775B" w:rsidRDefault="00E659A9" w:rsidP="001731FC">
            <w:pPr>
              <w:jc w:val="center"/>
              <w:rPr>
                <w:sz w:val="18"/>
                <w:szCs w:val="18"/>
              </w:rPr>
            </w:pPr>
            <w:r>
              <w:rPr>
                <w:sz w:val="18"/>
                <w:szCs w:val="18"/>
              </w:rPr>
              <w:t>0,149</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0,784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0,251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0,968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0,137</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0,191</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FFFFF" w:themeFill="background1"/>
          </w:tcPr>
          <w:p w:rsidR="00E659A9" w:rsidRDefault="00E659A9" w:rsidP="001731FC">
            <w:pPr>
              <w:rPr>
                <w:sz w:val="18"/>
                <w:szCs w:val="18"/>
              </w:rPr>
            </w:pPr>
            <w:r>
              <w:rPr>
                <w:sz w:val="18"/>
                <w:szCs w:val="18"/>
              </w:rPr>
              <w:t>PRE-BUBBLE-PCA-HPV plato time</w:t>
            </w:r>
          </w:p>
        </w:tc>
        <w:tc>
          <w:tcPr>
            <w:tcW w:w="522" w:type="pct"/>
            <w:shd w:val="clear" w:color="auto" w:fill="FFFFFF" w:themeFill="background1"/>
          </w:tcPr>
          <w:p w:rsidR="00E659A9" w:rsidRDefault="00E659A9" w:rsidP="001731FC">
            <w:pPr>
              <w:jc w:val="center"/>
              <w:rPr>
                <w:sz w:val="18"/>
                <w:szCs w:val="18"/>
              </w:rPr>
            </w:pPr>
            <w:r>
              <w:rPr>
                <w:sz w:val="18"/>
                <w:szCs w:val="18"/>
              </w:rPr>
              <w:t>15,2</w:t>
            </w:r>
            <w:r>
              <w:rPr>
                <w:rFonts w:cstheme="minorHAnsi"/>
                <w:sz w:val="18"/>
                <w:szCs w:val="18"/>
              </w:rPr>
              <w:t>±3,9</w:t>
            </w:r>
          </w:p>
        </w:tc>
        <w:tc>
          <w:tcPr>
            <w:tcW w:w="523" w:type="pct"/>
            <w:shd w:val="clear" w:color="auto" w:fill="FFFFFF" w:themeFill="background1"/>
          </w:tcPr>
          <w:p w:rsidR="00E659A9" w:rsidRPr="0051775B" w:rsidRDefault="00E659A9" w:rsidP="001731FC">
            <w:pPr>
              <w:jc w:val="center"/>
              <w:rPr>
                <w:sz w:val="18"/>
                <w:szCs w:val="18"/>
              </w:rPr>
            </w:pPr>
            <w:r>
              <w:rPr>
                <w:sz w:val="18"/>
                <w:szCs w:val="18"/>
              </w:rPr>
              <w:t>16,9</w:t>
            </w:r>
            <w:r>
              <w:rPr>
                <w:rFonts w:cstheme="minorHAnsi"/>
                <w:sz w:val="18"/>
                <w:szCs w:val="18"/>
              </w:rPr>
              <w:t>±3,5</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17,1</w:t>
            </w:r>
            <w:r>
              <w:rPr>
                <w:rFonts w:cstheme="minorHAnsi"/>
                <w:sz w:val="18"/>
                <w:szCs w:val="18"/>
              </w:rPr>
              <w:t>±2,5</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15,2</w:t>
            </w:r>
            <w:r>
              <w:rPr>
                <w:rFonts w:cstheme="minorHAnsi"/>
                <w:sz w:val="18"/>
                <w:szCs w:val="18"/>
              </w:rPr>
              <w:t>±5,6</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14,9</w:t>
            </w:r>
            <w:r>
              <w:rPr>
                <w:rFonts w:cstheme="minorHAnsi"/>
                <w:sz w:val="18"/>
                <w:szCs w:val="18"/>
              </w:rPr>
              <w:t>±2,8</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15,1</w:t>
            </w:r>
            <w:r>
              <w:rPr>
                <w:rFonts w:cstheme="minorHAnsi"/>
                <w:sz w:val="18"/>
                <w:szCs w:val="18"/>
              </w:rPr>
              <w:t>±2,4</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FFFFF" w:themeFill="background1"/>
          </w:tcPr>
          <w:p w:rsidR="00E659A9" w:rsidRDefault="00E659A9" w:rsidP="001731FC">
            <w:pPr>
              <w:rPr>
                <w:sz w:val="18"/>
                <w:szCs w:val="18"/>
              </w:rPr>
            </w:pPr>
            <w:r>
              <w:rPr>
                <w:sz w:val="18"/>
                <w:szCs w:val="18"/>
              </w:rPr>
              <w:t>POST-BUBBLE-PCA-HPV plato time</w:t>
            </w:r>
          </w:p>
        </w:tc>
        <w:tc>
          <w:tcPr>
            <w:tcW w:w="522" w:type="pct"/>
            <w:shd w:val="clear" w:color="auto" w:fill="FFFFFF" w:themeFill="background1"/>
          </w:tcPr>
          <w:p w:rsidR="00E659A9" w:rsidRDefault="00E659A9" w:rsidP="001731FC">
            <w:pPr>
              <w:jc w:val="center"/>
              <w:rPr>
                <w:sz w:val="18"/>
                <w:szCs w:val="18"/>
              </w:rPr>
            </w:pPr>
            <w:r>
              <w:rPr>
                <w:sz w:val="18"/>
                <w:szCs w:val="18"/>
              </w:rPr>
              <w:t>18,0</w:t>
            </w:r>
            <w:r>
              <w:rPr>
                <w:rFonts w:cstheme="minorHAnsi"/>
                <w:sz w:val="18"/>
                <w:szCs w:val="18"/>
              </w:rPr>
              <w:t>±3,7</w:t>
            </w:r>
          </w:p>
        </w:tc>
        <w:tc>
          <w:tcPr>
            <w:tcW w:w="523" w:type="pct"/>
            <w:shd w:val="clear" w:color="auto" w:fill="FFFFFF" w:themeFill="background1"/>
          </w:tcPr>
          <w:p w:rsidR="00E659A9" w:rsidRPr="0051775B" w:rsidRDefault="00E659A9" w:rsidP="001731FC">
            <w:pPr>
              <w:jc w:val="center"/>
              <w:rPr>
                <w:sz w:val="18"/>
                <w:szCs w:val="18"/>
              </w:rPr>
            </w:pPr>
            <w:r>
              <w:rPr>
                <w:sz w:val="18"/>
                <w:szCs w:val="18"/>
              </w:rPr>
              <w:t>17,2</w:t>
            </w:r>
            <w:r>
              <w:rPr>
                <w:rFonts w:cstheme="minorHAnsi"/>
                <w:sz w:val="18"/>
                <w:szCs w:val="18"/>
              </w:rPr>
              <w:t>±2,9</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16,7</w:t>
            </w:r>
            <w:r>
              <w:rPr>
                <w:rFonts w:cstheme="minorHAnsi"/>
                <w:sz w:val="18"/>
                <w:szCs w:val="18"/>
              </w:rPr>
              <w:t>±5,1</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17,5</w:t>
            </w:r>
            <w:r>
              <w:rPr>
                <w:rFonts w:cstheme="minorHAnsi"/>
                <w:sz w:val="18"/>
                <w:szCs w:val="18"/>
              </w:rPr>
              <w:t>±2,9</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16,0</w:t>
            </w:r>
            <w:r>
              <w:rPr>
                <w:rFonts w:cstheme="minorHAnsi"/>
                <w:sz w:val="18"/>
                <w:szCs w:val="18"/>
              </w:rPr>
              <w:t>±4,0</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16,6</w:t>
            </w:r>
            <w:r>
              <w:rPr>
                <w:rFonts w:cstheme="minorHAnsi"/>
                <w:sz w:val="18"/>
                <w:szCs w:val="18"/>
              </w:rPr>
              <w:t>±2,8</w:t>
            </w:r>
          </w:p>
        </w:tc>
      </w:tr>
      <w:tr w:rsidR="00E659A9" w:rsidRPr="0051775B" w:rsidTr="009E5AE5">
        <w:tc>
          <w:tcPr>
            <w:tcW w:w="1565" w:type="pct"/>
            <w:shd w:val="clear" w:color="auto" w:fill="F2F2F2" w:themeFill="background1" w:themeFillShade="F2"/>
          </w:tcPr>
          <w:p w:rsidR="00E659A9" w:rsidRDefault="00E659A9" w:rsidP="001731FC">
            <w:pPr>
              <w:rPr>
                <w:sz w:val="18"/>
                <w:szCs w:val="18"/>
              </w:rPr>
            </w:pPr>
            <w:r>
              <w:rPr>
                <w:sz w:val="18"/>
                <w:szCs w:val="18"/>
              </w:rPr>
              <w:t>P</w:t>
            </w:r>
          </w:p>
        </w:tc>
        <w:tc>
          <w:tcPr>
            <w:tcW w:w="522" w:type="pct"/>
            <w:shd w:val="clear" w:color="auto" w:fill="F2F2F2" w:themeFill="background1" w:themeFillShade="F2"/>
          </w:tcPr>
          <w:p w:rsidR="00E659A9" w:rsidRDefault="00E659A9" w:rsidP="001731FC">
            <w:pPr>
              <w:jc w:val="center"/>
              <w:rPr>
                <w:sz w:val="18"/>
                <w:szCs w:val="18"/>
              </w:rPr>
            </w:pPr>
            <w:r>
              <w:rPr>
                <w:sz w:val="18"/>
                <w:szCs w:val="18"/>
              </w:rPr>
              <w:t>0,064</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0,856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0,851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0,300</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0,336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0,126</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FFFFF" w:themeFill="background1"/>
          </w:tcPr>
          <w:p w:rsidR="00E659A9" w:rsidRDefault="00E659A9" w:rsidP="001731FC">
            <w:pPr>
              <w:rPr>
                <w:sz w:val="18"/>
                <w:szCs w:val="18"/>
              </w:rPr>
            </w:pPr>
            <w:r>
              <w:rPr>
                <w:sz w:val="18"/>
                <w:szCs w:val="18"/>
              </w:rPr>
              <w:t>PRE-BUBBLE-MCA-HPV plato tim</w:t>
            </w:r>
          </w:p>
        </w:tc>
        <w:tc>
          <w:tcPr>
            <w:tcW w:w="522" w:type="pct"/>
            <w:shd w:val="clear" w:color="auto" w:fill="FFFFFF" w:themeFill="background1"/>
          </w:tcPr>
          <w:p w:rsidR="00E659A9" w:rsidRDefault="00E659A9" w:rsidP="001731FC">
            <w:pPr>
              <w:jc w:val="center"/>
              <w:rPr>
                <w:sz w:val="18"/>
                <w:szCs w:val="18"/>
              </w:rPr>
            </w:pPr>
            <w:r>
              <w:rPr>
                <w:sz w:val="18"/>
                <w:szCs w:val="18"/>
              </w:rPr>
              <w:t>15,8</w:t>
            </w:r>
            <w:r>
              <w:rPr>
                <w:rFonts w:cstheme="minorHAnsi"/>
                <w:sz w:val="18"/>
                <w:szCs w:val="18"/>
              </w:rPr>
              <w:t>±3,4</w:t>
            </w:r>
          </w:p>
        </w:tc>
        <w:tc>
          <w:tcPr>
            <w:tcW w:w="523" w:type="pct"/>
            <w:shd w:val="clear" w:color="auto" w:fill="FFFFFF" w:themeFill="background1"/>
          </w:tcPr>
          <w:p w:rsidR="00E659A9" w:rsidRPr="0051775B" w:rsidRDefault="00E659A9" w:rsidP="001731FC">
            <w:pPr>
              <w:jc w:val="center"/>
              <w:rPr>
                <w:sz w:val="18"/>
                <w:szCs w:val="18"/>
              </w:rPr>
            </w:pPr>
            <w:r>
              <w:rPr>
                <w:sz w:val="18"/>
                <w:szCs w:val="18"/>
              </w:rPr>
              <w:t>17,3</w:t>
            </w:r>
            <w:r>
              <w:rPr>
                <w:rFonts w:cstheme="minorHAnsi"/>
                <w:sz w:val="18"/>
                <w:szCs w:val="18"/>
              </w:rPr>
              <w:t>±3,1</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17,6</w:t>
            </w:r>
            <w:r>
              <w:rPr>
                <w:rFonts w:cstheme="minorHAnsi"/>
                <w:sz w:val="18"/>
                <w:szCs w:val="18"/>
              </w:rPr>
              <w:t>±1,2</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16,3</w:t>
            </w:r>
            <w:r>
              <w:rPr>
                <w:rFonts w:cstheme="minorHAnsi"/>
                <w:sz w:val="18"/>
                <w:szCs w:val="18"/>
              </w:rPr>
              <w:t>±2,5</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15,1</w:t>
            </w:r>
            <w:r>
              <w:rPr>
                <w:rFonts w:cstheme="minorHAnsi"/>
                <w:sz w:val="18"/>
                <w:szCs w:val="18"/>
              </w:rPr>
              <w:t>±3,9</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14,9</w:t>
            </w:r>
            <w:r>
              <w:rPr>
                <w:rFonts w:cstheme="minorHAnsi"/>
                <w:sz w:val="18"/>
                <w:szCs w:val="18"/>
              </w:rPr>
              <w:t>±2,5</w:t>
            </w:r>
          </w:p>
        </w:tc>
      </w:tr>
      <w:tr w:rsidR="00E659A9" w:rsidRPr="0051775B" w:rsidTr="009E5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pct"/>
            <w:shd w:val="clear" w:color="auto" w:fill="FFFFFF" w:themeFill="background1"/>
          </w:tcPr>
          <w:p w:rsidR="00E659A9" w:rsidRDefault="00E659A9" w:rsidP="001731FC">
            <w:pPr>
              <w:rPr>
                <w:sz w:val="18"/>
                <w:szCs w:val="18"/>
              </w:rPr>
            </w:pPr>
            <w:r>
              <w:rPr>
                <w:sz w:val="18"/>
                <w:szCs w:val="18"/>
              </w:rPr>
              <w:t>POST-BUBBLE-MCA-HPV plato time</w:t>
            </w:r>
          </w:p>
        </w:tc>
        <w:tc>
          <w:tcPr>
            <w:tcW w:w="522" w:type="pct"/>
            <w:shd w:val="clear" w:color="auto" w:fill="FFFFFF" w:themeFill="background1"/>
          </w:tcPr>
          <w:p w:rsidR="00E659A9" w:rsidRDefault="00E659A9" w:rsidP="001731FC">
            <w:pPr>
              <w:jc w:val="center"/>
              <w:rPr>
                <w:sz w:val="18"/>
                <w:szCs w:val="18"/>
              </w:rPr>
            </w:pPr>
            <w:r>
              <w:rPr>
                <w:sz w:val="18"/>
                <w:szCs w:val="18"/>
              </w:rPr>
              <w:t>16,7</w:t>
            </w:r>
            <w:r>
              <w:rPr>
                <w:rFonts w:cstheme="minorHAnsi"/>
                <w:sz w:val="18"/>
                <w:szCs w:val="18"/>
              </w:rPr>
              <w:t>±2,1</w:t>
            </w:r>
          </w:p>
        </w:tc>
        <w:tc>
          <w:tcPr>
            <w:tcW w:w="523" w:type="pct"/>
            <w:shd w:val="clear" w:color="auto" w:fill="FFFFFF" w:themeFill="background1"/>
          </w:tcPr>
          <w:p w:rsidR="00E659A9" w:rsidRPr="0051775B" w:rsidRDefault="00E659A9" w:rsidP="001731FC">
            <w:pPr>
              <w:jc w:val="center"/>
              <w:rPr>
                <w:sz w:val="18"/>
                <w:szCs w:val="18"/>
              </w:rPr>
            </w:pPr>
            <w:r>
              <w:rPr>
                <w:sz w:val="18"/>
                <w:szCs w:val="18"/>
              </w:rPr>
              <w:t>16,9</w:t>
            </w:r>
            <w:r>
              <w:rPr>
                <w:rFonts w:cstheme="minorHAnsi"/>
                <w:sz w:val="18"/>
                <w:szCs w:val="18"/>
              </w:rPr>
              <w:t>±3,9</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18,2</w:t>
            </w:r>
            <w:r>
              <w:rPr>
                <w:rFonts w:cstheme="minorHAnsi"/>
                <w:sz w:val="18"/>
                <w:szCs w:val="18"/>
              </w:rPr>
              <w:t>±3,7</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14,9</w:t>
            </w:r>
            <w:r>
              <w:rPr>
                <w:rFonts w:cstheme="minorHAnsi"/>
                <w:sz w:val="18"/>
                <w:szCs w:val="18"/>
              </w:rPr>
              <w:t>±2,0</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15,6</w:t>
            </w:r>
            <w:r>
              <w:rPr>
                <w:rFonts w:cstheme="minorHAnsi"/>
                <w:sz w:val="18"/>
                <w:szCs w:val="18"/>
              </w:rPr>
              <w:t>±3,3</w:t>
            </w:r>
          </w:p>
        </w:tc>
        <w:tc>
          <w:tcPr>
            <w:tcW w:w="597" w:type="pct"/>
            <w:shd w:val="clear" w:color="auto" w:fill="FFFFFF" w:themeFill="background1"/>
          </w:tcPr>
          <w:p w:rsidR="00E659A9" w:rsidRPr="0051775B" w:rsidRDefault="00E659A9" w:rsidP="001731FC">
            <w:pPr>
              <w:jc w:val="center"/>
              <w:rPr>
                <w:sz w:val="18"/>
                <w:szCs w:val="18"/>
              </w:rPr>
            </w:pPr>
            <w:r>
              <w:rPr>
                <w:sz w:val="18"/>
                <w:szCs w:val="18"/>
              </w:rPr>
              <w:t>15,1</w:t>
            </w:r>
            <w:r>
              <w:rPr>
                <w:rFonts w:cstheme="minorHAnsi"/>
                <w:sz w:val="18"/>
                <w:szCs w:val="18"/>
              </w:rPr>
              <w:t>±3,3</w:t>
            </w:r>
          </w:p>
        </w:tc>
      </w:tr>
      <w:tr w:rsidR="00E659A9" w:rsidRPr="0051775B" w:rsidTr="009E5AE5">
        <w:tc>
          <w:tcPr>
            <w:tcW w:w="1565" w:type="pct"/>
            <w:shd w:val="clear" w:color="auto" w:fill="F2F2F2" w:themeFill="background1" w:themeFillShade="F2"/>
          </w:tcPr>
          <w:p w:rsidR="00E659A9" w:rsidRDefault="00E659A9" w:rsidP="001731FC">
            <w:pPr>
              <w:rPr>
                <w:sz w:val="18"/>
                <w:szCs w:val="18"/>
              </w:rPr>
            </w:pPr>
            <w:r>
              <w:rPr>
                <w:sz w:val="18"/>
                <w:szCs w:val="18"/>
              </w:rPr>
              <w:t>P</w:t>
            </w:r>
          </w:p>
        </w:tc>
        <w:tc>
          <w:tcPr>
            <w:tcW w:w="522" w:type="pct"/>
            <w:shd w:val="clear" w:color="auto" w:fill="F2F2F2" w:themeFill="background1" w:themeFillShade="F2"/>
          </w:tcPr>
          <w:p w:rsidR="00E659A9" w:rsidRDefault="00E659A9" w:rsidP="001731FC">
            <w:pPr>
              <w:jc w:val="center"/>
              <w:rPr>
                <w:sz w:val="18"/>
                <w:szCs w:val="18"/>
              </w:rPr>
            </w:pPr>
            <w:r>
              <w:rPr>
                <w:sz w:val="18"/>
                <w:szCs w:val="18"/>
              </w:rPr>
              <w:t>0,382</w:t>
            </w:r>
          </w:p>
        </w:tc>
        <w:tc>
          <w:tcPr>
            <w:tcW w:w="523" w:type="pct"/>
            <w:shd w:val="clear" w:color="auto" w:fill="F2F2F2" w:themeFill="background1" w:themeFillShade="F2"/>
          </w:tcPr>
          <w:p w:rsidR="00E659A9" w:rsidRPr="0051775B" w:rsidRDefault="00E659A9" w:rsidP="001731FC">
            <w:pPr>
              <w:jc w:val="center"/>
              <w:rPr>
                <w:sz w:val="18"/>
                <w:szCs w:val="18"/>
              </w:rPr>
            </w:pPr>
            <w:r>
              <w:rPr>
                <w:sz w:val="18"/>
                <w:szCs w:val="18"/>
              </w:rPr>
              <w:t>0,308</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0,644</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0,121</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0,676</w:t>
            </w:r>
          </w:p>
        </w:tc>
        <w:tc>
          <w:tcPr>
            <w:tcW w:w="597" w:type="pct"/>
            <w:shd w:val="clear" w:color="auto" w:fill="F2F2F2" w:themeFill="background1" w:themeFillShade="F2"/>
          </w:tcPr>
          <w:p w:rsidR="00E659A9" w:rsidRPr="0051775B" w:rsidRDefault="00E659A9" w:rsidP="001731FC">
            <w:pPr>
              <w:jc w:val="center"/>
              <w:rPr>
                <w:sz w:val="18"/>
                <w:szCs w:val="18"/>
              </w:rPr>
            </w:pPr>
            <w:r>
              <w:rPr>
                <w:sz w:val="18"/>
                <w:szCs w:val="18"/>
              </w:rPr>
              <w:t>0,868</w:t>
            </w:r>
          </w:p>
        </w:tc>
      </w:tr>
    </w:tbl>
    <w:p w:rsidR="00E659A9" w:rsidRDefault="00E659A9">
      <w:pPr>
        <w:spacing w:line="360" w:lineRule="auto"/>
        <w:ind w:firstLine="567"/>
        <w:jc w:val="both"/>
        <w:rPr>
          <w:rFonts w:ascii="Arial" w:hAnsi="Arial" w:cs="Arial"/>
          <w:sz w:val="24"/>
          <w:szCs w:val="24"/>
        </w:rPr>
      </w:pPr>
    </w:p>
    <w:p w:rsidR="009E5AE5" w:rsidRDefault="009E5AE5">
      <w:pPr>
        <w:rPr>
          <w:rFonts w:ascii="Arial" w:hAnsi="Arial" w:cs="Arial"/>
          <w:sz w:val="24"/>
          <w:szCs w:val="24"/>
        </w:rPr>
        <w:sectPr w:rsidR="009E5AE5" w:rsidSect="009E5AE5">
          <w:pgSz w:w="16838" w:h="11906" w:orient="landscape" w:code="9"/>
          <w:pgMar w:top="1560" w:right="1701" w:bottom="1418" w:left="1701" w:header="709" w:footer="709" w:gutter="0"/>
          <w:cols w:space="708"/>
          <w:docGrid w:linePitch="360"/>
        </w:sectPr>
      </w:pPr>
    </w:p>
    <w:p w:rsidR="00E659A9" w:rsidRDefault="00E659A9" w:rsidP="00461F9A">
      <w:pPr>
        <w:jc w:val="center"/>
        <w:rPr>
          <w:rFonts w:ascii="Arial" w:hAnsi="Arial" w:cs="Arial"/>
          <w:b/>
          <w:sz w:val="24"/>
          <w:szCs w:val="24"/>
        </w:rPr>
      </w:pPr>
      <w:r w:rsidRPr="00954456">
        <w:rPr>
          <w:rFonts w:ascii="Arial" w:hAnsi="Arial" w:cs="Arial"/>
          <w:b/>
          <w:noProof/>
          <w:sz w:val="24"/>
          <w:szCs w:val="24"/>
          <w:lang w:eastAsia="tr-TR"/>
        </w:rPr>
        <w:lastRenderedPageBreak/>
        <w:drawing>
          <wp:inline distT="0" distB="0" distL="0" distR="0">
            <wp:extent cx="7328818" cy="4691472"/>
            <wp:effectExtent l="4128"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lum bright="-20000" contrast="20000"/>
                      <a:extLst>
                        <a:ext uri="{28A0092B-C50C-407E-A947-70E740481C1C}">
                          <a14:useLocalDpi xmlns:a14="http://schemas.microsoft.com/office/drawing/2010/main" val="0"/>
                        </a:ext>
                      </a:extLst>
                    </a:blip>
                    <a:srcRect/>
                    <a:stretch>
                      <a:fillRect/>
                    </a:stretch>
                  </pic:blipFill>
                  <pic:spPr bwMode="auto">
                    <a:xfrm rot="16200000">
                      <a:off x="0" y="0"/>
                      <a:ext cx="7334793" cy="4695297"/>
                    </a:xfrm>
                    <a:prstGeom prst="rect">
                      <a:avLst/>
                    </a:prstGeom>
                    <a:noFill/>
                    <a:ln>
                      <a:noFill/>
                    </a:ln>
                  </pic:spPr>
                </pic:pic>
              </a:graphicData>
            </a:graphic>
          </wp:inline>
        </w:drawing>
      </w:r>
    </w:p>
    <w:p w:rsidR="009E5AE5" w:rsidRPr="00461F9A" w:rsidRDefault="009E5AE5" w:rsidP="009E5AE5">
      <w:pPr>
        <w:pStyle w:val="Resimler5"/>
      </w:pPr>
      <w:bookmarkStart w:id="59" w:name="_Toc492677208"/>
      <w:r>
        <w:t xml:space="preserve">Resim </w:t>
      </w:r>
      <w:proofErr w:type="gramStart"/>
      <w:r w:rsidR="007259BF">
        <w:t>3.</w:t>
      </w:r>
      <w:r>
        <w:t>9</w:t>
      </w:r>
      <w:proofErr w:type="gramEnd"/>
      <w:r>
        <w:t>.</w:t>
      </w:r>
      <w:r w:rsidRPr="00461F9A">
        <w:t xml:space="preserve"> </w:t>
      </w:r>
      <w:r w:rsidRPr="009E5AE5">
        <w:rPr>
          <w:b w:val="0"/>
        </w:rPr>
        <w:t>Tüm gruplarda BHT dip, Apne pik ve HPV plato zaman ve amplitüd farkları (%)</w:t>
      </w:r>
      <w:bookmarkEnd w:id="59"/>
    </w:p>
    <w:p w:rsidR="004B75B8" w:rsidRDefault="004B75B8">
      <w:pPr>
        <w:rPr>
          <w:rFonts w:ascii="Arial" w:hAnsi="Arial" w:cs="Arial"/>
          <w:b/>
          <w:sz w:val="24"/>
          <w:szCs w:val="24"/>
        </w:rPr>
        <w:sectPr w:rsidR="004B75B8" w:rsidSect="009E5AE5">
          <w:pgSz w:w="11906" w:h="16838" w:code="9"/>
          <w:pgMar w:top="1701" w:right="1418" w:bottom="1701" w:left="2268" w:header="709" w:footer="709" w:gutter="0"/>
          <w:cols w:space="708"/>
          <w:docGrid w:linePitch="360"/>
        </w:sectPr>
      </w:pPr>
    </w:p>
    <w:p w:rsidR="00E659A9" w:rsidRDefault="009E5AE5" w:rsidP="004B75B8">
      <w:pPr>
        <w:pStyle w:val="Tablolar6"/>
        <w:spacing w:before="0"/>
      </w:pPr>
      <w:bookmarkStart w:id="60" w:name="_Toc492677377"/>
      <w:r>
        <w:lastRenderedPageBreak/>
        <w:t xml:space="preserve">Tablo </w:t>
      </w:r>
      <w:proofErr w:type="gramStart"/>
      <w:r w:rsidR="007259BF">
        <w:t>3.</w:t>
      </w:r>
      <w:r>
        <w:t>9</w:t>
      </w:r>
      <w:proofErr w:type="gramEnd"/>
      <w:r>
        <w:t>.</w:t>
      </w:r>
      <w:r w:rsidR="00E659A9">
        <w:t xml:space="preserve"> </w:t>
      </w:r>
      <w:r w:rsidR="00E659A9" w:rsidRPr="009E5AE5">
        <w:rPr>
          <w:b w:val="0"/>
        </w:rPr>
        <w:t>Ajite salinin Migren ve/veya PFO hastalarında VMR üzerine etkisi</w:t>
      </w:r>
      <w:bookmarkEnd w:id="60"/>
    </w:p>
    <w:tbl>
      <w:tblPr>
        <w:tblW w:w="5000" w:type="pct"/>
        <w:tblLook w:val="04A0" w:firstRow="1" w:lastRow="0" w:firstColumn="1" w:lastColumn="0" w:noHBand="0" w:noVBand="1"/>
      </w:tblPr>
      <w:tblGrid>
        <w:gridCol w:w="2607"/>
        <w:gridCol w:w="1494"/>
        <w:gridCol w:w="1306"/>
        <w:gridCol w:w="938"/>
        <w:gridCol w:w="1303"/>
        <w:gridCol w:w="1306"/>
        <w:gridCol w:w="935"/>
        <w:gridCol w:w="1306"/>
        <w:gridCol w:w="1309"/>
        <w:gridCol w:w="932"/>
      </w:tblGrid>
      <w:tr w:rsidR="00E659A9" w:rsidRPr="00B21B28" w:rsidTr="004B75B8">
        <w:tc>
          <w:tcPr>
            <w:tcW w:w="970" w:type="pct"/>
            <w:shd w:val="clear" w:color="auto" w:fill="F2F2F2" w:themeFill="background1" w:themeFillShade="F2"/>
          </w:tcPr>
          <w:p w:rsidR="00E659A9" w:rsidRPr="00461F9A" w:rsidRDefault="00E659A9" w:rsidP="001731FC">
            <w:pPr>
              <w:rPr>
                <w:rFonts w:cstheme="minorHAnsi"/>
                <w:b/>
                <w:sz w:val="18"/>
                <w:szCs w:val="18"/>
              </w:rPr>
            </w:pPr>
          </w:p>
        </w:tc>
        <w:tc>
          <w:tcPr>
            <w:tcW w:w="1391" w:type="pct"/>
            <w:gridSpan w:val="3"/>
            <w:shd w:val="clear" w:color="auto" w:fill="F2F2F2" w:themeFill="background1" w:themeFillShade="F2"/>
          </w:tcPr>
          <w:p w:rsidR="00E659A9" w:rsidRPr="00461F9A" w:rsidRDefault="00E659A9">
            <w:pPr>
              <w:jc w:val="center"/>
              <w:rPr>
                <w:rFonts w:cstheme="minorHAnsi"/>
                <w:b/>
                <w:sz w:val="18"/>
                <w:szCs w:val="18"/>
              </w:rPr>
            </w:pPr>
            <w:r w:rsidRPr="00461F9A">
              <w:rPr>
                <w:rFonts w:cstheme="minorHAnsi"/>
                <w:b/>
                <w:sz w:val="18"/>
                <w:szCs w:val="18"/>
              </w:rPr>
              <w:t>PFO (n=26)</w:t>
            </w:r>
          </w:p>
        </w:tc>
        <w:tc>
          <w:tcPr>
            <w:tcW w:w="1319" w:type="pct"/>
            <w:gridSpan w:val="3"/>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Migren (n=38)</w:t>
            </w:r>
          </w:p>
        </w:tc>
        <w:tc>
          <w:tcPr>
            <w:tcW w:w="1320" w:type="pct"/>
            <w:gridSpan w:val="3"/>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Migren+PFO (n=18)</w:t>
            </w:r>
          </w:p>
        </w:tc>
      </w:tr>
      <w:tr w:rsidR="00E659A9" w:rsidRPr="00B21B28" w:rsidTr="004B75B8">
        <w:tc>
          <w:tcPr>
            <w:tcW w:w="970" w:type="pct"/>
            <w:shd w:val="clear" w:color="auto" w:fill="F2F2F2" w:themeFill="background1" w:themeFillShade="F2"/>
          </w:tcPr>
          <w:p w:rsidR="00E659A9" w:rsidRPr="00461F9A" w:rsidRDefault="00E659A9" w:rsidP="001731FC">
            <w:pPr>
              <w:rPr>
                <w:rFonts w:cstheme="minorHAnsi"/>
                <w:b/>
                <w:sz w:val="18"/>
                <w:szCs w:val="18"/>
              </w:rPr>
            </w:pPr>
            <w:r w:rsidRPr="00461F9A">
              <w:rPr>
                <w:rFonts w:cstheme="minorHAnsi"/>
                <w:b/>
                <w:sz w:val="18"/>
                <w:szCs w:val="18"/>
              </w:rPr>
              <w:t>PCA</w:t>
            </w:r>
          </w:p>
        </w:tc>
        <w:tc>
          <w:tcPr>
            <w:tcW w:w="55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8"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c>
          <w:tcPr>
            <w:tcW w:w="485"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8"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7"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7"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Bazal</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44</w:t>
            </w:r>
            <w:r w:rsidRPr="00B21B28">
              <w:rPr>
                <w:rFonts w:cstheme="minorHAnsi"/>
                <w:sz w:val="18"/>
                <w:szCs w:val="18"/>
              </w:rPr>
              <w:t>±8</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45</w:t>
            </w:r>
            <w:r w:rsidRPr="00B21B28">
              <w:rPr>
                <w:rFonts w:cstheme="minorHAnsi"/>
                <w:sz w:val="18"/>
                <w:szCs w:val="18"/>
              </w:rPr>
              <w:t>±10</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0,504</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46</w:t>
            </w:r>
            <w:r w:rsidRPr="00B21B28">
              <w:rPr>
                <w:rFonts w:cstheme="minorHAnsi"/>
                <w:sz w:val="18"/>
                <w:szCs w:val="18"/>
              </w:rPr>
              <w:t>±</w:t>
            </w:r>
            <w:r w:rsidRPr="00461F9A">
              <w:rPr>
                <w:rFonts w:cstheme="minorHAnsi"/>
                <w:sz w:val="18"/>
                <w:szCs w:val="18"/>
              </w:rPr>
              <w:t>8</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48</w:t>
            </w:r>
            <w:r w:rsidRPr="00B21B28">
              <w:rPr>
                <w:rFonts w:cstheme="minorHAnsi"/>
                <w:sz w:val="18"/>
                <w:szCs w:val="18"/>
              </w:rPr>
              <w:t>±9</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0,063</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43</w:t>
            </w:r>
            <w:r w:rsidRPr="00B21B28">
              <w:rPr>
                <w:rFonts w:cstheme="minorHAnsi"/>
                <w:sz w:val="18"/>
                <w:szCs w:val="18"/>
              </w:rPr>
              <w:t>±7</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45</w:t>
            </w:r>
            <w:r w:rsidRPr="00B21B28">
              <w:rPr>
                <w:rFonts w:cstheme="minorHAnsi"/>
                <w:sz w:val="18"/>
                <w:szCs w:val="18"/>
              </w:rPr>
              <w:t>±9</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0,343</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Dip percent decrease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-10,1</w:t>
            </w:r>
            <w:r w:rsidRPr="00B21B28">
              <w:rPr>
                <w:rFonts w:cstheme="minorHAnsi"/>
                <w:sz w:val="18"/>
                <w:szCs w:val="18"/>
              </w:rPr>
              <w:t>±7,9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-11,9</w:t>
            </w:r>
            <w:r w:rsidRPr="00B21B28">
              <w:rPr>
                <w:rFonts w:cstheme="minorHAnsi"/>
                <w:sz w:val="18"/>
                <w:szCs w:val="18"/>
              </w:rPr>
              <w:t>±8,8</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0407</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w:t>
            </w:r>
            <w:r w:rsidRPr="00B21B28">
              <w:rPr>
                <w:rFonts w:cstheme="minorHAnsi"/>
                <w:sz w:val="18"/>
                <w:szCs w:val="18"/>
              </w:rPr>
              <w:t>±8,6</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-9,6</w:t>
            </w:r>
            <w:r w:rsidRPr="00B21B28">
              <w:rPr>
                <w:rFonts w:cstheme="minorHAnsi"/>
                <w:sz w:val="18"/>
                <w:szCs w:val="18"/>
              </w:rPr>
              <w:t>±10,1</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0,814</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11,0</w:t>
            </w:r>
            <w:r w:rsidRPr="00B21B28">
              <w:rPr>
                <w:rFonts w:cstheme="minorHAnsi"/>
                <w:sz w:val="18"/>
                <w:szCs w:val="18"/>
              </w:rPr>
              <w:t>±</w:t>
            </w:r>
            <w:r w:rsidRPr="00461F9A">
              <w:rPr>
                <w:rFonts w:cstheme="minorHAnsi"/>
                <w:sz w:val="18"/>
                <w:szCs w:val="18"/>
              </w:rPr>
              <w:t>8,1</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10,8</w:t>
            </w:r>
            <w:r w:rsidRPr="00B21B28">
              <w:rPr>
                <w:rFonts w:cstheme="minorHAnsi"/>
                <w:sz w:val="18"/>
                <w:szCs w:val="18"/>
              </w:rPr>
              <w:t>±9,2</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0,928</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T dip</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8,7</w:t>
            </w:r>
            <w:r w:rsidRPr="00B21B28">
              <w:rPr>
                <w:rFonts w:cstheme="minorHAnsi"/>
                <w:sz w:val="18"/>
                <w:szCs w:val="18"/>
              </w:rPr>
              <w:t>±2,8</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10,0</w:t>
            </w:r>
            <w:r w:rsidRPr="00B21B28">
              <w:rPr>
                <w:rFonts w:cstheme="minorHAnsi"/>
                <w:sz w:val="18"/>
                <w:szCs w:val="18"/>
              </w:rPr>
              <w:t>±3,7</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0,072</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8,4</w:t>
            </w:r>
            <w:r w:rsidRPr="00B21B28">
              <w:rPr>
                <w:rFonts w:cstheme="minorHAnsi"/>
                <w:sz w:val="18"/>
                <w:szCs w:val="18"/>
              </w:rPr>
              <w:t>±3,0</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10,2</w:t>
            </w:r>
            <w:r w:rsidRPr="00B21B28">
              <w:rPr>
                <w:rFonts w:cstheme="minorHAnsi"/>
                <w:sz w:val="18"/>
                <w:szCs w:val="18"/>
              </w:rPr>
              <w:t>±2,7</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0,001</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8,1</w:t>
            </w:r>
            <w:r w:rsidRPr="00B21B28">
              <w:rPr>
                <w:rFonts w:cstheme="minorHAnsi"/>
                <w:sz w:val="18"/>
                <w:szCs w:val="18"/>
              </w:rPr>
              <w:t>±3,1</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10,1</w:t>
            </w:r>
            <w:r w:rsidRPr="00B21B28">
              <w:rPr>
                <w:rFonts w:cstheme="minorHAnsi"/>
                <w:sz w:val="18"/>
                <w:szCs w:val="18"/>
              </w:rPr>
              <w:t>±3,2</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0,330</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Apne percent increase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30,0</w:t>
            </w:r>
            <w:r w:rsidRPr="00B21B28">
              <w:rPr>
                <w:rFonts w:cstheme="minorHAnsi"/>
                <w:sz w:val="18"/>
                <w:szCs w:val="18"/>
              </w:rPr>
              <w:t>±12,1</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23,2</w:t>
            </w:r>
            <w:r w:rsidRPr="00B21B28">
              <w:rPr>
                <w:rFonts w:cstheme="minorHAnsi"/>
                <w:sz w:val="18"/>
                <w:szCs w:val="18"/>
              </w:rPr>
              <w:t>±11,2</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0,015</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33,5</w:t>
            </w:r>
            <w:r w:rsidRPr="00B21B28">
              <w:rPr>
                <w:rFonts w:cstheme="minorHAnsi"/>
                <w:sz w:val="18"/>
                <w:szCs w:val="18"/>
              </w:rPr>
              <w:t>±13,5</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26,4</w:t>
            </w:r>
            <w:r w:rsidRPr="00B21B28">
              <w:rPr>
                <w:rFonts w:cstheme="minorHAnsi"/>
                <w:sz w:val="18"/>
                <w:szCs w:val="18"/>
              </w:rPr>
              <w:t>±13,4</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0,005</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29,0</w:t>
            </w:r>
            <w:r w:rsidRPr="00B21B28">
              <w:rPr>
                <w:rFonts w:cstheme="minorHAnsi"/>
                <w:sz w:val="18"/>
                <w:szCs w:val="18"/>
              </w:rPr>
              <w:t>±12,0</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22,6</w:t>
            </w:r>
            <w:r w:rsidRPr="00B21B28">
              <w:rPr>
                <w:rFonts w:cstheme="minorHAnsi"/>
                <w:sz w:val="18"/>
                <w:szCs w:val="18"/>
              </w:rPr>
              <w:t>±12,4</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0,053</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HPV decrease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27,0</w:t>
            </w:r>
            <w:r w:rsidRPr="00B21B28">
              <w:rPr>
                <w:rFonts w:cstheme="minorHAnsi"/>
                <w:sz w:val="18"/>
                <w:szCs w:val="18"/>
              </w:rPr>
              <w:t>±10,7</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29,0</w:t>
            </w:r>
            <w:r w:rsidRPr="00B21B28">
              <w:rPr>
                <w:rFonts w:cstheme="minorHAnsi"/>
                <w:sz w:val="18"/>
                <w:szCs w:val="18"/>
              </w:rPr>
              <w:t>±11,2</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0,271</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30</w:t>
            </w:r>
            <w:r w:rsidRPr="00B21B28">
              <w:rPr>
                <w:rFonts w:cstheme="minorHAnsi"/>
                <w:sz w:val="18"/>
                <w:szCs w:val="18"/>
              </w:rPr>
              <w:t>±8,9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27,3</w:t>
            </w:r>
            <w:r w:rsidRPr="00B21B28">
              <w:rPr>
                <w:rFonts w:cstheme="minorHAnsi"/>
                <w:sz w:val="18"/>
                <w:szCs w:val="18"/>
              </w:rPr>
              <w:t>±7,6</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0,065</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27,8</w:t>
            </w:r>
            <w:r w:rsidRPr="00B21B28">
              <w:rPr>
                <w:rFonts w:cstheme="minorHAnsi"/>
                <w:sz w:val="18"/>
                <w:szCs w:val="18"/>
              </w:rPr>
              <w:t>±11,4</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28,6</w:t>
            </w:r>
            <w:r w:rsidRPr="00B21B28">
              <w:rPr>
                <w:rFonts w:cstheme="minorHAnsi"/>
                <w:sz w:val="18"/>
                <w:szCs w:val="18"/>
              </w:rPr>
              <w:t>±8,3</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0,744</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T plato</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15,8</w:t>
            </w:r>
            <w:r w:rsidRPr="00B21B28">
              <w:rPr>
                <w:rFonts w:cstheme="minorHAnsi"/>
                <w:sz w:val="18"/>
                <w:szCs w:val="18"/>
              </w:rPr>
              <w:t>±</w:t>
            </w:r>
            <w:r w:rsidRPr="00461F9A">
              <w:rPr>
                <w:rFonts w:cstheme="minorHAnsi"/>
                <w:sz w:val="18"/>
                <w:szCs w:val="18"/>
              </w:rPr>
              <w:t>4,0</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17,1</w:t>
            </w:r>
            <w:r w:rsidRPr="00B21B28">
              <w:rPr>
                <w:rFonts w:cstheme="minorHAnsi"/>
                <w:sz w:val="18"/>
                <w:szCs w:val="18"/>
              </w:rPr>
              <w:t>±2,8</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0,141</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15,5</w:t>
            </w:r>
            <w:r w:rsidRPr="00B21B28">
              <w:rPr>
                <w:rFonts w:cstheme="minorHAnsi"/>
                <w:sz w:val="18"/>
                <w:szCs w:val="18"/>
              </w:rPr>
              <w:t>±3,5</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16,7</w:t>
            </w:r>
            <w:r w:rsidRPr="00B21B28">
              <w:rPr>
                <w:rFonts w:cstheme="minorHAnsi"/>
                <w:sz w:val="18"/>
                <w:szCs w:val="18"/>
              </w:rPr>
              <w:t>±3,7</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0,161</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15,2</w:t>
            </w:r>
            <w:r w:rsidRPr="00B21B28">
              <w:rPr>
                <w:rFonts w:cstheme="minorHAnsi"/>
                <w:sz w:val="18"/>
                <w:szCs w:val="18"/>
              </w:rPr>
              <w:t>±4,2</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17,1</w:t>
            </w:r>
            <w:r w:rsidRPr="00B21B28">
              <w:rPr>
                <w:rFonts w:cstheme="minorHAnsi"/>
                <w:sz w:val="18"/>
                <w:szCs w:val="18"/>
              </w:rPr>
              <w:t>±2,8</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0,116</w:t>
            </w:r>
          </w:p>
        </w:tc>
      </w:tr>
      <w:tr w:rsidR="00E659A9" w:rsidRPr="00B21B28" w:rsidTr="004B75B8">
        <w:tc>
          <w:tcPr>
            <w:tcW w:w="970" w:type="pct"/>
            <w:shd w:val="clear" w:color="auto" w:fill="F2F2F2" w:themeFill="background1" w:themeFillShade="F2"/>
          </w:tcPr>
          <w:p w:rsidR="00E659A9" w:rsidRPr="00461F9A" w:rsidRDefault="00E659A9" w:rsidP="001731FC">
            <w:pPr>
              <w:rPr>
                <w:rFonts w:cstheme="minorHAnsi"/>
                <w:b/>
                <w:sz w:val="18"/>
                <w:szCs w:val="18"/>
              </w:rPr>
            </w:pPr>
            <w:r w:rsidRPr="00461F9A">
              <w:rPr>
                <w:rFonts w:cstheme="minorHAnsi"/>
                <w:b/>
                <w:sz w:val="18"/>
                <w:szCs w:val="18"/>
              </w:rPr>
              <w:t>MCA</w:t>
            </w:r>
          </w:p>
        </w:tc>
        <w:tc>
          <w:tcPr>
            <w:tcW w:w="55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8"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c>
          <w:tcPr>
            <w:tcW w:w="485"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8"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c>
          <w:tcPr>
            <w:tcW w:w="486"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BEFORE</w:t>
            </w:r>
          </w:p>
        </w:tc>
        <w:tc>
          <w:tcPr>
            <w:tcW w:w="487"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AFTER</w:t>
            </w:r>
          </w:p>
        </w:tc>
        <w:tc>
          <w:tcPr>
            <w:tcW w:w="347" w:type="pct"/>
            <w:shd w:val="clear" w:color="auto" w:fill="F2F2F2" w:themeFill="background1" w:themeFillShade="F2"/>
          </w:tcPr>
          <w:p w:rsidR="00E659A9" w:rsidRPr="00461F9A" w:rsidRDefault="00E659A9" w:rsidP="001731FC">
            <w:pPr>
              <w:jc w:val="center"/>
              <w:rPr>
                <w:rFonts w:cstheme="minorHAnsi"/>
                <w:b/>
                <w:sz w:val="18"/>
                <w:szCs w:val="18"/>
              </w:rPr>
            </w:pPr>
            <w:r w:rsidRPr="00461F9A">
              <w:rPr>
                <w:rFonts w:cstheme="minorHAnsi"/>
                <w:b/>
                <w:sz w:val="18"/>
                <w:szCs w:val="18"/>
              </w:rPr>
              <w:t>p</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Bazal</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63</w:t>
            </w:r>
            <w:r w:rsidRPr="00B21B28">
              <w:rPr>
                <w:rFonts w:cstheme="minorHAnsi"/>
                <w:sz w:val="18"/>
                <w:szCs w:val="18"/>
              </w:rPr>
              <w:t>±12</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64</w:t>
            </w:r>
            <w:r w:rsidRPr="00B21B28">
              <w:rPr>
                <w:rFonts w:cstheme="minorHAnsi"/>
                <w:sz w:val="18"/>
                <w:szCs w:val="18"/>
              </w:rPr>
              <w:t>±11</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0,269</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65</w:t>
            </w:r>
            <w:r w:rsidRPr="00B21B28">
              <w:rPr>
                <w:rFonts w:cstheme="minorHAnsi"/>
                <w:sz w:val="18"/>
                <w:szCs w:val="18"/>
              </w:rPr>
              <w:t>±9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66</w:t>
            </w:r>
            <w:r w:rsidRPr="00B21B28">
              <w:rPr>
                <w:rFonts w:cstheme="minorHAnsi"/>
                <w:sz w:val="18"/>
                <w:szCs w:val="18"/>
              </w:rPr>
              <w:t>±9</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0,230</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65</w:t>
            </w:r>
            <w:r w:rsidRPr="00B21B28">
              <w:rPr>
                <w:rFonts w:cstheme="minorHAnsi"/>
                <w:sz w:val="18"/>
                <w:szCs w:val="18"/>
              </w:rPr>
              <w:t>±10</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65</w:t>
            </w:r>
            <w:r w:rsidRPr="00B21B28">
              <w:rPr>
                <w:rFonts w:cstheme="minorHAnsi"/>
                <w:sz w:val="18"/>
                <w:szCs w:val="18"/>
              </w:rPr>
              <w:t>±10</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0,935</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Dip percent decrease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11,0</w:t>
            </w:r>
            <w:r w:rsidRPr="00B21B28">
              <w:rPr>
                <w:rFonts w:cstheme="minorHAnsi"/>
                <w:sz w:val="18"/>
                <w:szCs w:val="18"/>
              </w:rPr>
              <w:t>±</w:t>
            </w:r>
            <w:r w:rsidRPr="00461F9A">
              <w:rPr>
                <w:rFonts w:cstheme="minorHAnsi"/>
                <w:sz w:val="18"/>
                <w:szCs w:val="18"/>
              </w:rPr>
              <w:t>9,9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11,2</w:t>
            </w:r>
            <w:r w:rsidRPr="00B21B28">
              <w:rPr>
                <w:rFonts w:cstheme="minorHAnsi"/>
                <w:sz w:val="18"/>
                <w:szCs w:val="18"/>
              </w:rPr>
              <w:t>±8,5</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0,905</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8,8</w:t>
            </w:r>
            <w:r w:rsidRPr="00B21B28">
              <w:rPr>
                <w:rFonts w:cstheme="minorHAnsi"/>
                <w:sz w:val="18"/>
                <w:szCs w:val="18"/>
              </w:rPr>
              <w:t>±9,4</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8,5</w:t>
            </w:r>
            <w:r w:rsidRPr="00B21B28">
              <w:rPr>
                <w:rFonts w:cstheme="minorHAnsi"/>
                <w:sz w:val="18"/>
                <w:szCs w:val="18"/>
              </w:rPr>
              <w:t>±9,7</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0,876</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11,4</w:t>
            </w:r>
            <w:r w:rsidRPr="00B21B28">
              <w:rPr>
                <w:rFonts w:cstheme="minorHAnsi"/>
                <w:sz w:val="18"/>
                <w:szCs w:val="18"/>
              </w:rPr>
              <w:t>±10,4</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10,2</w:t>
            </w:r>
            <w:r w:rsidRPr="00B21B28">
              <w:rPr>
                <w:rFonts w:cstheme="minorHAnsi"/>
                <w:sz w:val="18"/>
                <w:szCs w:val="18"/>
              </w:rPr>
              <w:t>±8,9</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0,424</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T dip</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10,7</w:t>
            </w:r>
            <w:r w:rsidRPr="00B21B28">
              <w:rPr>
                <w:rFonts w:cstheme="minorHAnsi"/>
                <w:sz w:val="18"/>
                <w:szCs w:val="18"/>
              </w:rPr>
              <w:t>±2,9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10,6</w:t>
            </w:r>
            <w:r w:rsidRPr="00B21B28">
              <w:rPr>
                <w:rFonts w:cstheme="minorHAnsi"/>
                <w:sz w:val="18"/>
                <w:szCs w:val="18"/>
              </w:rPr>
              <w:t>±3,9</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0,950</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10,4</w:t>
            </w:r>
            <w:r w:rsidRPr="00B21B28">
              <w:rPr>
                <w:rFonts w:cstheme="minorHAnsi"/>
                <w:sz w:val="18"/>
                <w:szCs w:val="18"/>
              </w:rPr>
              <w:t>±3,0</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10,3</w:t>
            </w:r>
            <w:r w:rsidRPr="00B21B28">
              <w:rPr>
                <w:rFonts w:cstheme="minorHAnsi"/>
                <w:sz w:val="18"/>
                <w:szCs w:val="18"/>
              </w:rPr>
              <w:t>±3,6</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0,776</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11,0</w:t>
            </w:r>
            <w:r w:rsidRPr="00B21B28">
              <w:rPr>
                <w:rFonts w:cstheme="minorHAnsi"/>
                <w:sz w:val="18"/>
                <w:szCs w:val="18"/>
              </w:rPr>
              <w:t>±3,1</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11,1</w:t>
            </w:r>
            <w:r w:rsidRPr="00B21B28">
              <w:rPr>
                <w:rFonts w:cstheme="minorHAnsi"/>
                <w:sz w:val="18"/>
                <w:szCs w:val="18"/>
              </w:rPr>
              <w:t>±</w:t>
            </w:r>
            <w:r w:rsidRPr="00461F9A">
              <w:rPr>
                <w:rFonts w:cstheme="minorHAnsi"/>
                <w:sz w:val="18"/>
                <w:szCs w:val="18"/>
              </w:rPr>
              <w:t>4,5</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0,948</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Apne percent increase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28,8</w:t>
            </w:r>
            <w:r w:rsidRPr="00B21B28">
              <w:rPr>
                <w:rFonts w:cstheme="minorHAnsi"/>
                <w:sz w:val="18"/>
                <w:szCs w:val="18"/>
              </w:rPr>
              <w:t>±14,2</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27,4</w:t>
            </w:r>
            <w:r w:rsidRPr="00B21B28">
              <w:rPr>
                <w:rFonts w:cstheme="minorHAnsi"/>
                <w:sz w:val="18"/>
                <w:szCs w:val="18"/>
              </w:rPr>
              <w:t>±11,9</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0,369</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35</w:t>
            </w:r>
            <w:r w:rsidRPr="00B21B28">
              <w:rPr>
                <w:rFonts w:cstheme="minorHAnsi"/>
                <w:sz w:val="18"/>
                <w:szCs w:val="18"/>
              </w:rPr>
              <w:t>±13,6</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33</w:t>
            </w:r>
            <w:r w:rsidRPr="00B21B28">
              <w:rPr>
                <w:rFonts w:cstheme="minorHAnsi"/>
                <w:sz w:val="18"/>
                <w:szCs w:val="18"/>
              </w:rPr>
              <w:t>±13,6</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0,176</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27,8</w:t>
            </w:r>
            <w:r w:rsidRPr="00B21B28">
              <w:rPr>
                <w:rFonts w:cstheme="minorHAnsi"/>
                <w:sz w:val="18"/>
                <w:szCs w:val="18"/>
              </w:rPr>
              <w:t>±14,0</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27,2</w:t>
            </w:r>
            <w:r w:rsidRPr="00B21B28">
              <w:rPr>
                <w:rFonts w:cstheme="minorHAnsi"/>
                <w:sz w:val="18"/>
                <w:szCs w:val="18"/>
              </w:rPr>
              <w:t>±12,2</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0,727</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HPV decrease</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27,4</w:t>
            </w:r>
            <w:r w:rsidRPr="00B21B28">
              <w:rPr>
                <w:rFonts w:cstheme="minorHAnsi"/>
                <w:sz w:val="18"/>
                <w:szCs w:val="18"/>
              </w:rPr>
              <w:t>±11,9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30,9</w:t>
            </w:r>
            <w:r w:rsidRPr="00B21B28">
              <w:rPr>
                <w:rFonts w:cstheme="minorHAnsi"/>
                <w:sz w:val="18"/>
                <w:szCs w:val="18"/>
              </w:rPr>
              <w:t>±13,2</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0,268</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27,1</w:t>
            </w:r>
            <w:r w:rsidRPr="00B21B28">
              <w:rPr>
                <w:rFonts w:cstheme="minorHAnsi"/>
                <w:sz w:val="18"/>
                <w:szCs w:val="18"/>
              </w:rPr>
              <w:t>±8,4</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30,5</w:t>
            </w:r>
            <w:r w:rsidRPr="00B21B28">
              <w:rPr>
                <w:rFonts w:cstheme="minorHAnsi"/>
                <w:sz w:val="18"/>
                <w:szCs w:val="18"/>
              </w:rPr>
              <w:t>±11,0</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0,114</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27,9</w:t>
            </w:r>
            <w:r w:rsidRPr="00B21B28">
              <w:rPr>
                <w:rFonts w:cstheme="minorHAnsi"/>
                <w:sz w:val="18"/>
                <w:szCs w:val="18"/>
              </w:rPr>
              <w:t>±10,1</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33,5</w:t>
            </w:r>
            <w:r w:rsidRPr="00B21B28">
              <w:rPr>
                <w:rFonts w:cstheme="minorHAnsi"/>
                <w:sz w:val="18"/>
                <w:szCs w:val="18"/>
              </w:rPr>
              <w:t>±14,4</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0,179</w:t>
            </w:r>
          </w:p>
        </w:tc>
      </w:tr>
      <w:tr w:rsidR="00E659A9" w:rsidRPr="00B21B28" w:rsidTr="004B75B8">
        <w:tc>
          <w:tcPr>
            <w:tcW w:w="970" w:type="pct"/>
            <w:shd w:val="clear" w:color="auto" w:fill="auto"/>
          </w:tcPr>
          <w:p w:rsidR="00E659A9" w:rsidRPr="00461F9A" w:rsidRDefault="00E659A9" w:rsidP="001731FC">
            <w:pPr>
              <w:rPr>
                <w:rFonts w:cstheme="minorHAnsi"/>
                <w:sz w:val="18"/>
                <w:szCs w:val="18"/>
              </w:rPr>
            </w:pPr>
            <w:r w:rsidRPr="00461F9A">
              <w:rPr>
                <w:rFonts w:cstheme="minorHAnsi"/>
                <w:sz w:val="18"/>
                <w:szCs w:val="18"/>
              </w:rPr>
              <w:t>T plato</w:t>
            </w:r>
          </w:p>
        </w:tc>
        <w:tc>
          <w:tcPr>
            <w:tcW w:w="55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16,2</w:t>
            </w:r>
            <w:r w:rsidRPr="00B21B28">
              <w:rPr>
                <w:rFonts w:cstheme="minorHAnsi"/>
                <w:sz w:val="18"/>
                <w:szCs w:val="18"/>
              </w:rPr>
              <w:t>±2,8</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15,7</w:t>
            </w:r>
            <w:r w:rsidRPr="00B21B28">
              <w:rPr>
                <w:rFonts w:cstheme="minorHAnsi"/>
                <w:sz w:val="18"/>
                <w:szCs w:val="18"/>
              </w:rPr>
              <w:t>±3,2</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0,330</w:t>
            </w:r>
          </w:p>
        </w:tc>
        <w:tc>
          <w:tcPr>
            <w:tcW w:w="485"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16</w:t>
            </w:r>
            <w:r w:rsidRPr="00B21B28">
              <w:rPr>
                <w:rFonts w:cstheme="minorHAnsi"/>
                <w:sz w:val="18"/>
                <w:szCs w:val="18"/>
              </w:rPr>
              <w:t>±2,9</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16</w:t>
            </w:r>
            <w:r w:rsidRPr="00B21B28">
              <w:rPr>
                <w:rFonts w:cstheme="minorHAnsi"/>
                <w:sz w:val="18"/>
                <w:szCs w:val="18"/>
              </w:rPr>
              <w:t>±3,3</w:t>
            </w:r>
          </w:p>
        </w:tc>
        <w:tc>
          <w:tcPr>
            <w:tcW w:w="348"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0,937</w:t>
            </w:r>
          </w:p>
        </w:tc>
        <w:tc>
          <w:tcPr>
            <w:tcW w:w="486"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15,6</w:t>
            </w:r>
            <w:r w:rsidRPr="00B21B28">
              <w:rPr>
                <w:rFonts w:cstheme="minorHAnsi"/>
                <w:sz w:val="18"/>
                <w:szCs w:val="18"/>
              </w:rPr>
              <w:t>±2,5</w:t>
            </w:r>
          </w:p>
        </w:tc>
        <w:tc>
          <w:tcPr>
            <w:tcW w:w="487" w:type="pct"/>
            <w:shd w:val="clear" w:color="auto" w:fill="auto"/>
          </w:tcPr>
          <w:p w:rsidR="00E659A9" w:rsidRPr="00461F9A" w:rsidRDefault="00E659A9" w:rsidP="001731FC">
            <w:pPr>
              <w:jc w:val="center"/>
              <w:rPr>
                <w:rFonts w:cstheme="minorHAnsi"/>
                <w:sz w:val="18"/>
                <w:szCs w:val="18"/>
              </w:rPr>
            </w:pPr>
            <w:r w:rsidRPr="00461F9A">
              <w:rPr>
                <w:rFonts w:cstheme="minorHAnsi"/>
                <w:sz w:val="18"/>
                <w:szCs w:val="18"/>
              </w:rPr>
              <w:t>15,0</w:t>
            </w:r>
            <w:r w:rsidRPr="00B21B28">
              <w:rPr>
                <w:rFonts w:cstheme="minorHAnsi"/>
                <w:sz w:val="18"/>
                <w:szCs w:val="18"/>
              </w:rPr>
              <w:t>±2,6</w:t>
            </w:r>
          </w:p>
        </w:tc>
        <w:tc>
          <w:tcPr>
            <w:tcW w:w="347" w:type="pct"/>
            <w:shd w:val="clear" w:color="auto" w:fill="F2F2F2" w:themeFill="background1" w:themeFillShade="F2"/>
          </w:tcPr>
          <w:p w:rsidR="00E659A9" w:rsidRPr="00461F9A" w:rsidRDefault="00E659A9" w:rsidP="001731FC">
            <w:pPr>
              <w:jc w:val="center"/>
              <w:rPr>
                <w:rFonts w:cstheme="minorHAnsi"/>
                <w:sz w:val="18"/>
                <w:szCs w:val="18"/>
              </w:rPr>
            </w:pPr>
            <w:r w:rsidRPr="00461F9A">
              <w:rPr>
                <w:rFonts w:cstheme="minorHAnsi"/>
                <w:sz w:val="18"/>
                <w:szCs w:val="18"/>
              </w:rPr>
              <w:t>0,282</w:t>
            </w:r>
          </w:p>
        </w:tc>
      </w:tr>
    </w:tbl>
    <w:p w:rsidR="004B75B8" w:rsidRDefault="004B75B8">
      <w:pPr>
        <w:rPr>
          <w:rFonts w:ascii="Arial" w:hAnsi="Arial" w:cs="Arial"/>
          <w:sz w:val="24"/>
          <w:szCs w:val="24"/>
        </w:rPr>
        <w:sectPr w:rsidR="004B75B8" w:rsidSect="004B75B8">
          <w:pgSz w:w="16838" w:h="11906" w:orient="landscape" w:code="9"/>
          <w:pgMar w:top="2268" w:right="1701" w:bottom="1418" w:left="1701" w:header="709" w:footer="709" w:gutter="0"/>
          <w:cols w:space="708"/>
          <w:docGrid w:linePitch="360"/>
        </w:sectPr>
      </w:pPr>
    </w:p>
    <w:p w:rsidR="00E659A9" w:rsidRDefault="00E659A9" w:rsidP="00461F9A">
      <w:pPr>
        <w:jc w:val="center"/>
        <w:rPr>
          <w:rFonts w:ascii="Arial" w:hAnsi="Arial" w:cs="Arial"/>
          <w:sz w:val="24"/>
          <w:szCs w:val="24"/>
        </w:rPr>
      </w:pPr>
      <w:r w:rsidRPr="00D66992">
        <w:rPr>
          <w:rFonts w:ascii="Arial" w:hAnsi="Arial" w:cs="Arial"/>
          <w:noProof/>
          <w:sz w:val="24"/>
          <w:szCs w:val="24"/>
          <w:lang w:eastAsia="tr-TR"/>
        </w:rPr>
        <w:lastRenderedPageBreak/>
        <w:drawing>
          <wp:inline distT="0" distB="0" distL="0" distR="0">
            <wp:extent cx="4927940" cy="4616384"/>
            <wp:effectExtent l="0" t="0" r="635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lum bright="-20000" contrast="20000"/>
                      <a:extLst>
                        <a:ext uri="{28A0092B-C50C-407E-A947-70E740481C1C}">
                          <a14:useLocalDpi xmlns:a14="http://schemas.microsoft.com/office/drawing/2010/main" val="0"/>
                        </a:ext>
                      </a:extLst>
                    </a:blip>
                    <a:srcRect/>
                    <a:stretch>
                      <a:fillRect/>
                    </a:stretch>
                  </pic:blipFill>
                  <pic:spPr bwMode="auto">
                    <a:xfrm>
                      <a:off x="0" y="0"/>
                      <a:ext cx="4932592" cy="4620742"/>
                    </a:xfrm>
                    <a:prstGeom prst="rect">
                      <a:avLst/>
                    </a:prstGeom>
                    <a:noFill/>
                    <a:ln>
                      <a:noFill/>
                    </a:ln>
                  </pic:spPr>
                </pic:pic>
              </a:graphicData>
            </a:graphic>
          </wp:inline>
        </w:drawing>
      </w:r>
    </w:p>
    <w:p w:rsidR="009E5AE5" w:rsidRPr="0064150A" w:rsidRDefault="004B75B8" w:rsidP="007259BF">
      <w:pPr>
        <w:pStyle w:val="Resimler5"/>
      </w:pPr>
      <w:bookmarkStart w:id="61" w:name="_Toc492677209"/>
      <w:r>
        <w:t>Resim</w:t>
      </w:r>
      <w:r w:rsidR="009E5AE5" w:rsidRPr="0064150A">
        <w:t xml:space="preserve"> </w:t>
      </w:r>
      <w:r w:rsidR="007259BF">
        <w:t>3.</w:t>
      </w:r>
      <w:r w:rsidR="009E5AE5">
        <w:t>10</w:t>
      </w:r>
      <w:r>
        <w:t>.</w:t>
      </w:r>
      <w:r w:rsidR="009E5AE5" w:rsidRPr="0064150A">
        <w:t xml:space="preserve"> </w:t>
      </w:r>
      <w:r w:rsidR="009E5AE5" w:rsidRPr="007259BF">
        <w:rPr>
          <w:b w:val="0"/>
        </w:rPr>
        <w:t>Migren ve/veya PFO ve BHT dip, Apne pik ve HPV plato zaman ve amplitüd farkları (%)</w:t>
      </w:r>
      <w:bookmarkEnd w:id="61"/>
    </w:p>
    <w:p w:rsidR="00FF2F61" w:rsidRDefault="00FF2F61">
      <w:pPr>
        <w:rPr>
          <w:rFonts w:ascii="Arial" w:hAnsi="Arial" w:cs="Arial"/>
          <w:sz w:val="24"/>
          <w:szCs w:val="24"/>
        </w:rPr>
      </w:pPr>
      <w:r>
        <w:rPr>
          <w:rFonts w:ascii="Arial" w:hAnsi="Arial" w:cs="Arial"/>
          <w:sz w:val="24"/>
          <w:szCs w:val="24"/>
        </w:rPr>
        <w:br w:type="page"/>
      </w:r>
    </w:p>
    <w:p w:rsidR="00E659A9" w:rsidRPr="00461F9A" w:rsidRDefault="004B75B8" w:rsidP="004B75B8">
      <w:pPr>
        <w:pStyle w:val="Balk1"/>
      </w:pPr>
      <w:bookmarkStart w:id="62" w:name="_Toc492677358"/>
      <w:r>
        <w:lastRenderedPageBreak/>
        <w:t xml:space="preserve">5. </w:t>
      </w:r>
      <w:r w:rsidRPr="00461F9A">
        <w:t>TARTIŞMA</w:t>
      </w:r>
      <w:bookmarkEnd w:id="62"/>
      <w:r w:rsidRPr="00461F9A">
        <w:t xml:space="preserve"> </w:t>
      </w:r>
    </w:p>
    <w:p w:rsidR="00E659A9" w:rsidRDefault="00E659A9" w:rsidP="004B75B8">
      <w:pPr>
        <w:pStyle w:val="METN"/>
      </w:pPr>
      <w:r>
        <w:t>Çalışmamızda migrenli olgularda nefes tutma indeksinin artmış olduğu saptanmıştr. Bu MCA için istatistiksel seviyede anlamlı olup PCA için sadece bir eğilimi işaret etmektedir. Ancak, migrende PFO varsa BHI artışı belirgin olarak (ortalama 0,4) düşük kalmaktadır. PCA BHI PFO saptanan migrenlilerde sayısal olarak (yaklaşık 0,25 kadar) daha azdır. Bu değişiklikler auralı ve aurasız migrende, ipsilateral ve kontrlateral tarafta birbirine benzer seviyededir.</w:t>
      </w:r>
    </w:p>
    <w:p w:rsidR="00E659A9" w:rsidRDefault="00E659A9" w:rsidP="004B75B8">
      <w:pPr>
        <w:pStyle w:val="METN"/>
      </w:pPr>
      <w:r>
        <w:t xml:space="preserve">Migrenlilerde MCA BHI çalışmalarının sonuçları değişken olmakla birlikte genellikle farklı olmadığı belirtilmiştir </w:t>
      </w:r>
      <w:r>
        <w:rPr>
          <w:noProof/>
        </w:rPr>
        <w:t>[237, 292, 297]</w:t>
      </w:r>
      <w:r>
        <w:t xml:space="preserve"> Bazı çalışmalarda ise BHI’nin “artmış” olduğu gösterilmiştir</w:t>
      </w:r>
      <w:r>
        <w:rPr>
          <w:noProof/>
        </w:rPr>
        <w:t>[298]</w:t>
      </w:r>
      <w:r>
        <w:t xml:space="preserve">. Vertebrobaziller sistemin ele alındığı çalışmalarda ise yine çoğunlukla BHI’in değişmemiş olduğu </w:t>
      </w:r>
      <w:r>
        <w:rPr>
          <w:noProof/>
        </w:rPr>
        <w:t>[297, 303]</w:t>
      </w:r>
      <w:r>
        <w:t xml:space="preserve"> saptanırken bazı çalışmalarda hem PCA </w:t>
      </w:r>
      <w:r>
        <w:rPr>
          <w:noProof/>
        </w:rPr>
        <w:t>[237]</w:t>
      </w:r>
      <w:r>
        <w:t xml:space="preserve"> hem de baziller arterde </w:t>
      </w:r>
      <w:r>
        <w:rPr>
          <w:noProof/>
        </w:rPr>
        <w:t>[237]</w:t>
      </w:r>
      <w:r>
        <w:t xml:space="preserve"> özellikle auralılarda </w:t>
      </w:r>
      <w:r>
        <w:rPr>
          <w:noProof/>
        </w:rPr>
        <w:t>[303]</w:t>
      </w:r>
      <w:r>
        <w:t xml:space="preserve"> “azalmış” olduğu görülmüştür. Bu da posterior dolaşımda vazomotor reaktivitenin migrende daha duyarlı ve belirgin şekilde bozulmuş olduğu şeklinde yorumlanmıştır. Bulgularımız (BHI MCA’da artmış ve PCA’da artış eğilimi) böylece bu çalışmaların bir kısmını desteklemiş olmaktadır. Bizim temel gözlemlerimizden biri olan PFO varlığında BHI’in daha düşük olması patofizyolojik açıklamalardaki önemi yanı sıra bu farklı sonuçları da bir dereceye kadar açıklayabilir. </w:t>
      </w:r>
      <w:proofErr w:type="gramStart"/>
      <w:r>
        <w:t>Çünkü,</w:t>
      </w:r>
      <w:proofErr w:type="gramEnd"/>
      <w:r>
        <w:t xml:space="preserve"> bu çalışmaların hiçbirinde PFO bulunup bulunmadığı değerlendirmeye alınmamıştır.</w:t>
      </w:r>
    </w:p>
    <w:p w:rsidR="00E659A9" w:rsidRPr="00461F9A" w:rsidRDefault="00E659A9" w:rsidP="004B75B8">
      <w:pPr>
        <w:pStyle w:val="METN"/>
      </w:pPr>
      <w:r>
        <w:t xml:space="preserve">Migrenli olgularda PFO ile vazomotor reaktivite arasındaki ilişki daha önce çalışılmamıştır. Bir çalışmada migrenlilerde dinamik serebral otoregülasyon kapasitesinin daha kısıtlı olduğu saptanmıştır </w:t>
      </w:r>
      <w:r>
        <w:rPr>
          <w:noProof/>
        </w:rPr>
        <w:t>[312]</w:t>
      </w:r>
      <w:r>
        <w:t xml:space="preserve">. Biz ise literatürde ilk kez çok çeşitli analizlerle migrenli olgularda PFO’nun BHI’nin MCA’da daha belirgin olarak hem MCA hem de PCA’da daha düşük olduğunu, yani vazodilatasyon kapasitesinin bazal şartlar altına azalmasına yol açtığını göstermiş durumdayız. Bu PFO migren iişkisinin altında yatan </w:t>
      </w:r>
      <w:r w:rsidRPr="00461F9A">
        <w:t>patofizyolojiyi açıklama çabasına da önemli bir katkıdır.</w:t>
      </w:r>
    </w:p>
    <w:p w:rsidR="00E659A9" w:rsidRPr="00461F9A" w:rsidRDefault="00E659A9" w:rsidP="004B75B8">
      <w:pPr>
        <w:pStyle w:val="METN"/>
      </w:pPr>
      <w:r w:rsidRPr="00461F9A">
        <w:t xml:space="preserve">Bazalde geniş sağdan sola şant olan PFO’lu olgularda serebral vazomotor reaktivitenin daha düşük olmasının çeşitli nedenleri olabilir. </w:t>
      </w:r>
      <w:r w:rsidRPr="00461F9A">
        <w:lastRenderedPageBreak/>
        <w:t xml:space="preserve">Bunlardan ilki karbondioksit ve serotonin gibi normalde akciğerde metabolize olarak uzaklaştırılan vazoaktif maddelerin PFO içerisinden geçerek pulmoner dolaşımı bypass etmesi ve bu suretle sistemik dolaşımda daha yüksek </w:t>
      </w:r>
      <w:proofErr w:type="gramStart"/>
      <w:r w:rsidRPr="00461F9A">
        <w:t>konsantrasyona</w:t>
      </w:r>
      <w:proofErr w:type="gramEnd"/>
      <w:r w:rsidRPr="00461F9A">
        <w:t xml:space="preserve"> ulaşması ihtimalidir.</w:t>
      </w:r>
      <w:r w:rsidRPr="00461F9A">
        <w:rPr>
          <w:noProof/>
        </w:rPr>
        <w:t>[310]</w:t>
      </w:r>
      <w:r w:rsidRPr="00461F9A">
        <w:t xml:space="preserve"> Sonuçta bazalde içten içe artmış bir vazodilatasyon bu maddeler nedeniyle gelişmiş ve bu da </w:t>
      </w:r>
      <w:r>
        <w:t>vazo</w:t>
      </w:r>
      <w:r w:rsidRPr="00461F9A">
        <w:t>reaktivite kapasitesinin azalt</w:t>
      </w:r>
      <w:r>
        <w:t>ıcı yönde etki yapmış</w:t>
      </w:r>
      <w:r w:rsidRPr="00461F9A">
        <w:t xml:space="preserve"> olabilir</w:t>
      </w:r>
      <w:r w:rsidRPr="00461F9A">
        <w:rPr>
          <w:noProof/>
        </w:rPr>
        <w:t>[183]</w:t>
      </w:r>
      <w:r w:rsidRPr="00461F9A">
        <w:t>.</w:t>
      </w:r>
    </w:p>
    <w:p w:rsidR="00E659A9" w:rsidRPr="00461F9A" w:rsidRDefault="00E659A9" w:rsidP="004B75B8">
      <w:pPr>
        <w:pStyle w:val="METN"/>
      </w:pPr>
      <w:r w:rsidRPr="00461F9A">
        <w:t>Diğer olası mekanizma ise paradoksikal serebral mikroembolizmdir</w:t>
      </w:r>
      <w:r w:rsidRPr="00461F9A">
        <w:rPr>
          <w:noProof/>
        </w:rPr>
        <w:t>[309]</w:t>
      </w:r>
      <w:r w:rsidRPr="00461F9A">
        <w:t xml:space="preserve">. Bu subklinik mikroembolilerin deney hayvanlarında kortikal yayılan depresyonu tetikleyebileceği ortaya konulmuştur. </w:t>
      </w:r>
      <w:r w:rsidRPr="00461F9A">
        <w:rPr>
          <w:noProof/>
        </w:rPr>
        <w:t>[190]</w:t>
      </w:r>
      <w:r w:rsidRPr="00461F9A">
        <w:t xml:space="preserve"> Subklinik kortikal yayılan depresyonların da serebrovasküler reaktiviteyi azaltıcı yönde etkileyebildiği bilinmektedir</w:t>
      </w:r>
      <w:r>
        <w:t xml:space="preserve"> </w:t>
      </w:r>
      <w:r w:rsidRPr="00461F9A">
        <w:rPr>
          <w:noProof/>
        </w:rPr>
        <w:t>[323, 324]</w:t>
      </w:r>
      <w:r w:rsidRPr="00461F9A">
        <w:t>. Mikroembolizm nedenli serebral vazomotor reaktivite azal</w:t>
      </w:r>
      <w:r>
        <w:t xml:space="preserve">ması aynı zamanda </w:t>
      </w:r>
      <w:r w:rsidRPr="00461F9A">
        <w:t>embolinin</w:t>
      </w:r>
      <w:r>
        <w:t xml:space="preserve"> dolaşımdan</w:t>
      </w:r>
      <w:r w:rsidRPr="00461F9A">
        <w:t xml:space="preserve"> hızl</w:t>
      </w:r>
      <w:r>
        <w:t>a</w:t>
      </w:r>
      <w:r w:rsidRPr="00461F9A">
        <w:t xml:space="preserve"> temizlenmesini </w:t>
      </w:r>
      <w:r>
        <w:t xml:space="preserve">de </w:t>
      </w:r>
      <w:r w:rsidRPr="00461F9A">
        <w:t>engelle</w:t>
      </w:r>
      <w:r>
        <w:t xml:space="preserve">yeceği için </w:t>
      </w:r>
      <w:r w:rsidRPr="00461F9A">
        <w:rPr>
          <w:noProof/>
        </w:rPr>
        <w:t>[325]</w:t>
      </w:r>
      <w:r>
        <w:t xml:space="preserve"> var olan bozukluğu artırıcı yönde bir döngü oluşmasına ve serebral </w:t>
      </w:r>
      <w:r w:rsidRPr="009F3499">
        <w:t>mikrodolaşımın</w:t>
      </w:r>
      <w:r>
        <w:t xml:space="preserve"> vazoaktif </w:t>
      </w:r>
      <w:r w:rsidRPr="00461F9A">
        <w:t>metabolitlere maruz kalma süresi</w:t>
      </w:r>
      <w:r>
        <w:t>ni</w:t>
      </w:r>
      <w:r w:rsidRPr="00461F9A">
        <w:t xml:space="preserve"> uza</w:t>
      </w:r>
      <w:r>
        <w:t xml:space="preserve">tarak </w:t>
      </w:r>
      <w:r w:rsidRPr="00461F9A">
        <w:t>migrenin tetiklenmesi</w:t>
      </w:r>
      <w:r>
        <w:t>nin</w:t>
      </w:r>
      <w:r w:rsidRPr="00461F9A">
        <w:t xml:space="preserve"> kolaylaş</w:t>
      </w:r>
      <w:r>
        <w:t>masına yol açıyor olabilir.</w:t>
      </w:r>
    </w:p>
    <w:p w:rsidR="00E659A9" w:rsidRDefault="00E659A9" w:rsidP="004B75B8">
      <w:pPr>
        <w:pStyle w:val="METN"/>
      </w:pPr>
      <w:r>
        <w:t xml:space="preserve">Bazı küçük ölçekli çalışmalarda migrenli olgularda serebral vazokonstriktif kapasitenin arttığı, yani hiperventilasyon nedenli hipokapni gibi vazokonstriktif stimuluslara daha hızlı ve daha yüksek dereceli yanıt verdiğini gösteren deliller elde edilmiştir </w:t>
      </w:r>
      <w:r>
        <w:rPr>
          <w:noProof/>
        </w:rPr>
        <w:t>[326, 327]</w:t>
      </w:r>
      <w:r>
        <w:t>. Çalışmamızda benzer değişikliklerin migrenlilerde farkedilebilir olduğu, hiperventilasyonda platoya ulaşma süresinin kısaldığı, akım hızı azalmasının ve pulsatilte artışının uniform olarak migrenlilerde daha dikkat çekici seviyede olduğu gözlenmiştir. Ancak, bu değişikler istatisiksel anlamlılık oluşturacak seviyede güçlü olmamıştır. Diğer taraftan, bu kapasite değişikliği veya değişiklik olasılığı PFO varlığından etkilenmememiştir. Dolayısıyla, verilerimiz PFO migren arasındaki bağlantının vazokonstrikyon kapasitesi üzerinden olmadığı şeklinde yorumlanabilir diyebiliriz.</w:t>
      </w:r>
    </w:p>
    <w:p w:rsidR="00E659A9" w:rsidRDefault="00E659A9" w:rsidP="004B75B8">
      <w:pPr>
        <w:pStyle w:val="METN"/>
      </w:pPr>
      <w:r>
        <w:t>Çalışmamızın bir diğer önemli bulgusu serebral v</w:t>
      </w:r>
      <w:r w:rsidRPr="00461F9A">
        <w:t>azomotor reaktivitenin ajite salin verildikten sonra bazalde normal limitleri içinde olan posterior serebral arterde anlamlı derecede bozulduğu</w:t>
      </w:r>
      <w:r>
        <w:t xml:space="preserve">dur. BHI’nin post-injeksiyon azalımı ortalama 0,25 seviyesinde olup bu azalma MCA’da %7’dir. “Bubble” </w:t>
      </w:r>
      <w:r>
        <w:lastRenderedPageBreak/>
        <w:t xml:space="preserve">test esnasında verilen aerojenik mikrokabarcıkların migrenöz baş ağrısını bazı özel olgularda ve durumlarda provoke edebildiği (yaklaşık %7,5) bilinen bir gözlemdir </w:t>
      </w:r>
      <w:r>
        <w:rPr>
          <w:noProof/>
        </w:rPr>
        <w:t>[191, 313]</w:t>
      </w:r>
      <w:r>
        <w:t xml:space="preserve">. </w:t>
      </w:r>
    </w:p>
    <w:p w:rsidR="00E659A9" w:rsidRPr="009F3499" w:rsidRDefault="00E659A9" w:rsidP="004B75B8">
      <w:pPr>
        <w:pStyle w:val="METN"/>
        <w:rPr>
          <w:szCs w:val="24"/>
        </w:rPr>
      </w:pPr>
      <w:r>
        <w:rPr>
          <w:szCs w:val="24"/>
        </w:rPr>
        <w:t xml:space="preserve">Yukarıda belirttiğimiz gibi serebral mikrodolaşıma hızla dolan hava içeren mikroemboliler </w:t>
      </w:r>
      <w:r w:rsidRPr="009F3499">
        <w:rPr>
          <w:szCs w:val="24"/>
        </w:rPr>
        <w:t>kortikal yayılan depresyonu tetikleyebil</w:t>
      </w:r>
      <w:r>
        <w:rPr>
          <w:szCs w:val="24"/>
        </w:rPr>
        <w:t xml:space="preserve">mekte </w:t>
      </w:r>
      <w:r w:rsidRPr="009F3499">
        <w:rPr>
          <w:noProof/>
          <w:szCs w:val="24"/>
        </w:rPr>
        <w:t>[190]</w:t>
      </w:r>
      <w:r w:rsidRPr="009F3499">
        <w:rPr>
          <w:szCs w:val="24"/>
        </w:rPr>
        <w:t xml:space="preserve"> </w:t>
      </w:r>
      <w:r>
        <w:rPr>
          <w:szCs w:val="24"/>
        </w:rPr>
        <w:t>ve bu da ağrıya yol açabilmektedir</w:t>
      </w:r>
      <w:r>
        <w:rPr>
          <w:noProof/>
          <w:szCs w:val="24"/>
        </w:rPr>
        <w:t>[76]</w:t>
      </w:r>
      <w:r>
        <w:rPr>
          <w:szCs w:val="24"/>
        </w:rPr>
        <w:t>. K</w:t>
      </w:r>
      <w:r w:rsidRPr="009F3499">
        <w:rPr>
          <w:szCs w:val="24"/>
        </w:rPr>
        <w:t>ortikal yayılan depresyon</w:t>
      </w:r>
      <w:r>
        <w:rPr>
          <w:szCs w:val="24"/>
        </w:rPr>
        <w:t xml:space="preserve"> geçişi esnası ve sonrasında vasküler </w:t>
      </w:r>
      <w:r w:rsidRPr="009F3499">
        <w:rPr>
          <w:szCs w:val="24"/>
        </w:rPr>
        <w:t xml:space="preserve">reaktivite </w:t>
      </w:r>
      <w:r>
        <w:rPr>
          <w:szCs w:val="24"/>
        </w:rPr>
        <w:t xml:space="preserve">baskılar </w:t>
      </w:r>
      <w:r w:rsidRPr="009F3499">
        <w:rPr>
          <w:noProof/>
          <w:szCs w:val="24"/>
        </w:rPr>
        <w:t>[323, 324]</w:t>
      </w:r>
      <w:r w:rsidRPr="009F3499">
        <w:rPr>
          <w:szCs w:val="24"/>
        </w:rPr>
        <w:t xml:space="preserve">. </w:t>
      </w:r>
      <w:r>
        <w:rPr>
          <w:szCs w:val="24"/>
        </w:rPr>
        <w:t xml:space="preserve">Bu eğer bir migren modeli ise ağrı esnasında nefes tutma indeksinin azalması gözlemi </w:t>
      </w:r>
      <w:r>
        <w:rPr>
          <w:noProof/>
          <w:szCs w:val="24"/>
        </w:rPr>
        <w:t>[297]</w:t>
      </w:r>
      <w:r>
        <w:rPr>
          <w:szCs w:val="24"/>
        </w:rPr>
        <w:t xml:space="preserve"> ile de uyum içindedir. Diğer taraftan bizim bu baskılanmayı sadece PCA için gözlemiş olmamız oksipital bölgenin migrende öne sürülen hassasiyeti ile ilgili olabilir. Ancak, modelimizde MCA’nın yaklaşık 10-15 dakika daha erken test edilmiş olmasının da etki etmiş olabileceğini dışlayamayız. Dolaşımda mikrokabarcıkların patolojik süreçleri indüklemesi için belli bir sürenin geçmesi gerekmiş olabilir.</w:t>
      </w:r>
    </w:p>
    <w:p w:rsidR="00E659A9" w:rsidRDefault="00E659A9" w:rsidP="004B75B8">
      <w:pPr>
        <w:pStyle w:val="METN"/>
        <w:rPr>
          <w:szCs w:val="24"/>
        </w:rPr>
      </w:pPr>
      <w:r>
        <w:rPr>
          <w:szCs w:val="24"/>
        </w:rPr>
        <w:t xml:space="preserve">Vurgulanması gereken önemli bir nokta ajite SF injeksiyonunun sadece migreni olmayanlarda anlamlı bir PCA vazomotor reaktivite baskılanması yapmadığı, diğer tüm gruplarda bu baskılanmanın olduğudur. Bu reaktivite azalması ipsilateral ve kontrlateral taraflarda, auralı ve aurasız migrende, PFO bulunan ve bulunmayanlarda hemen hemen benzer şekil ve şiddette meydana gelmiştir. Yani, bu azalım sadece PFO ile ilişkili değildir denebilir. Bu durumun bir açıklaması bizim de bir çok kez nefes tutmanın bitirilmesi esnasında gördüğümüz mikroembolik sinyal geçilerinden kestirebildiğimiz (Bir örneği Figür-5’de gösterilmiş olduğu üzere) gibi mikrobubble’ların pulmoner dolaşımdan geçişi ve sistemik dolaşımda bir süre </w:t>
      </w:r>
      <w:proofErr w:type="gramStart"/>
      <w:r>
        <w:rPr>
          <w:szCs w:val="24"/>
        </w:rPr>
        <w:t>stabil</w:t>
      </w:r>
      <w:proofErr w:type="gramEnd"/>
      <w:r>
        <w:rPr>
          <w:szCs w:val="24"/>
        </w:rPr>
        <w:t xml:space="preserve"> kalabilmeleri olabilir </w:t>
      </w:r>
      <w:r>
        <w:rPr>
          <w:noProof/>
          <w:szCs w:val="24"/>
        </w:rPr>
        <w:t>[328]</w:t>
      </w:r>
      <w:r>
        <w:rPr>
          <w:szCs w:val="24"/>
        </w:rPr>
        <w:t>.</w:t>
      </w:r>
    </w:p>
    <w:p w:rsidR="00E659A9" w:rsidRDefault="00E659A9" w:rsidP="004B75B8">
      <w:pPr>
        <w:pStyle w:val="METN"/>
        <w:rPr>
          <w:szCs w:val="24"/>
        </w:rPr>
      </w:pPr>
      <w:r>
        <w:rPr>
          <w:szCs w:val="24"/>
        </w:rPr>
        <w:t xml:space="preserve">Biz bu çalışmada birçok bireyde nefes tutma yanıtının trifazik seyir </w:t>
      </w:r>
      <w:r>
        <w:rPr>
          <w:noProof/>
          <w:szCs w:val="24"/>
        </w:rPr>
        <w:t>[300]</w:t>
      </w:r>
      <w:r>
        <w:rPr>
          <w:szCs w:val="24"/>
        </w:rPr>
        <w:t xml:space="preserve"> özelliğini gözledik. Apne esnasında meydana gelen akım konfigürasyonu değişikliği (hızın azalması, dikrotik çentiğin belirginleşmesi ama end-diastolik akımın göreceli olarak </w:t>
      </w:r>
      <w:proofErr w:type="gramStart"/>
      <w:r>
        <w:rPr>
          <w:szCs w:val="24"/>
        </w:rPr>
        <w:t>stabil</w:t>
      </w:r>
      <w:proofErr w:type="gramEnd"/>
      <w:r>
        <w:rPr>
          <w:szCs w:val="24"/>
        </w:rPr>
        <w:t xml:space="preserve"> seyretmesi) spekülatif olarak istemsiz Valsalva manevrasının bir tezahürü olma olasılığı bulunsa da migrenli olgularda ajite salin sonrası aurasızlarda ve PCA’da belirgin olarak farkedilebilir değişiklilere uğramıştır. Bu değişiklikler PCA’da faz-2 dip yanıtı olarak isimlendirdiğimiz </w:t>
      </w:r>
      <w:r>
        <w:rPr>
          <w:szCs w:val="24"/>
        </w:rPr>
        <w:lastRenderedPageBreak/>
        <w:t>akım hızı azalmasının daha fazla olması ve 2 saniye kadar daha geç oluşmasıdır. MCA’da ise değişiklik farkedilmemiştir. Bunun açıklaması da yine aerojenik “bubble”ların serebral mikrodolaşımda yol açtığı ve VMR baskılanmasına giden süreçlerdir.</w:t>
      </w:r>
    </w:p>
    <w:p w:rsidR="00E659A9" w:rsidRDefault="00E659A9" w:rsidP="004B75B8">
      <w:pPr>
        <w:pStyle w:val="METN"/>
        <w:rPr>
          <w:szCs w:val="24"/>
        </w:rPr>
      </w:pPr>
      <w:r>
        <w:rPr>
          <w:szCs w:val="24"/>
        </w:rPr>
        <w:t xml:space="preserve">Hiperventilasyon ile gerçekleştirilen serebral vazokonstriksiyon kapasitesi ölçümü ajite SF bolusu sonrası tekrarlandığı zaman migrenli hastaların PCA’larında gördüğümüz hafif dereceki egzejerasyonun biraz </w:t>
      </w:r>
      <w:proofErr w:type="gramStart"/>
      <w:r>
        <w:rPr>
          <w:szCs w:val="24"/>
        </w:rPr>
        <w:t>(</w:t>
      </w:r>
      <w:proofErr w:type="gramEnd"/>
      <w:r>
        <w:rPr>
          <w:szCs w:val="24"/>
        </w:rPr>
        <w:t>artış 3 cm/s azalmıştır. P=0,065-0,114</w:t>
      </w:r>
      <w:proofErr w:type="gramStart"/>
      <w:r>
        <w:rPr>
          <w:szCs w:val="24"/>
        </w:rPr>
        <w:t>)</w:t>
      </w:r>
      <w:proofErr w:type="gramEnd"/>
      <w:r>
        <w:rPr>
          <w:szCs w:val="24"/>
        </w:rPr>
        <w:t xml:space="preserve"> azaldığı ama devam ettiği gözlenmiştir. </w:t>
      </w:r>
    </w:p>
    <w:p w:rsidR="00E659A9" w:rsidRDefault="00E659A9" w:rsidP="004B75B8">
      <w:pPr>
        <w:pStyle w:val="METN"/>
        <w:rPr>
          <w:szCs w:val="24"/>
        </w:rPr>
      </w:pPr>
      <w:r>
        <w:rPr>
          <w:szCs w:val="24"/>
        </w:rPr>
        <w:t xml:space="preserve">Son olarak ajite SF bolusu ile bazı hastalarda migren ağrısının tetiklenebileceğini biz de gözlemledik. Hasta sayısının sadece 4 olması bu konuyu aydınlatmamıza </w:t>
      </w:r>
      <w:proofErr w:type="gramStart"/>
      <w:r>
        <w:rPr>
          <w:szCs w:val="24"/>
        </w:rPr>
        <w:t>imkan</w:t>
      </w:r>
      <w:proofErr w:type="gramEnd"/>
      <w:r>
        <w:rPr>
          <w:szCs w:val="24"/>
        </w:rPr>
        <w:t xml:space="preserve"> tanımadı, ancak bunun sadece migreni olan kişilerde olması not edilmelidir. Ağrı gelişenlerde PCA BHI’nin aşlangıçta hafif derecede de olsa düşük olması ve salin sonrası düşme olmaması dikkatimizi çekti. MCA’da ise buble testi sonrası bata hafif tğksek olan BHI’de anlamlı düşme olmadı. Vazomotor reaktivitenin bubble injeksiyonu sonrası ağrısı olan hastalarda farklı olup olmadığı daha ileri çalışmalara konu olmalıdır.</w:t>
      </w:r>
    </w:p>
    <w:p w:rsidR="00E659A9" w:rsidRDefault="00E659A9" w:rsidP="004B75B8">
      <w:pPr>
        <w:pStyle w:val="METN"/>
        <w:rPr>
          <w:szCs w:val="24"/>
        </w:rPr>
      </w:pPr>
      <w:r>
        <w:rPr>
          <w:szCs w:val="24"/>
        </w:rPr>
        <w:t>Çalışmamızın güçlü yönleri deneklerin sonuçları etkileyebileceyecek vasküler hastalık veya ilaç kullanımı olmaması, ölçümlerin hasta karakteristiklerine kör olarak gerçekleştirilmesi ve nörosonolojik ölçümlerin tecrübeli kişilerce yapılmasıdır. Denek sayısının az olması bazı ikincil analizleri yapmamızı engelledi. Ancak ve bunlarla beraber, çalışmamız PFO ve migren arasındaki bağlantıyı açıklayan teorilere vazomotor reaktivite çerçevesinde ilk verileri suna</w:t>
      </w:r>
      <w:r w:rsidR="00461F9A">
        <w:rPr>
          <w:szCs w:val="24"/>
        </w:rPr>
        <w:t>rak önemli bir katkı yapmıştır</w:t>
      </w:r>
      <w:r>
        <w:rPr>
          <w:szCs w:val="24"/>
        </w:rPr>
        <w:t xml:space="preserve">. </w:t>
      </w:r>
    </w:p>
    <w:p w:rsidR="004B75B8" w:rsidRDefault="004B75B8">
      <w:pPr>
        <w:rPr>
          <w:rFonts w:ascii="Arial" w:hAnsi="Arial" w:cs="Arial"/>
          <w:sz w:val="24"/>
          <w:szCs w:val="24"/>
        </w:rPr>
      </w:pPr>
      <w:r>
        <w:rPr>
          <w:rFonts w:ascii="Arial" w:hAnsi="Arial" w:cs="Arial"/>
          <w:sz w:val="24"/>
          <w:szCs w:val="24"/>
        </w:rPr>
        <w:br w:type="page"/>
      </w:r>
    </w:p>
    <w:p w:rsidR="00E659A9" w:rsidRPr="00461F9A" w:rsidRDefault="00E659A9" w:rsidP="004B75B8">
      <w:pPr>
        <w:pStyle w:val="Balk1"/>
      </w:pPr>
      <w:bookmarkStart w:id="63" w:name="_Toc492677359"/>
      <w:r w:rsidRPr="00461F9A">
        <w:lastRenderedPageBreak/>
        <w:t>KAYNAKLAR</w:t>
      </w:r>
      <w:bookmarkEnd w:id="63"/>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w:t>
      </w:r>
      <w:r w:rsidRPr="004B75B8">
        <w:rPr>
          <w:rFonts w:ascii="Arial" w:hAnsi="Arial" w:cs="Arial"/>
          <w:sz w:val="24"/>
          <w:szCs w:val="24"/>
        </w:rPr>
        <w:tab/>
        <w:t xml:space="preserve">Global Burden of Disease Study, C., </w:t>
      </w:r>
      <w:r w:rsidRPr="004B75B8">
        <w:rPr>
          <w:rFonts w:ascii="Arial" w:hAnsi="Arial" w:cs="Arial"/>
          <w:i/>
          <w:sz w:val="24"/>
          <w:szCs w:val="24"/>
        </w:rPr>
        <w:t>Global, regional, and national incidence, prevalence, and years lived with disability for 301 acute and chronic diseases and injuries in 188 countries, 1990-2013: a systematic analysis for the Global Burden of Disease Study 2013.</w:t>
      </w:r>
      <w:r w:rsidRPr="004B75B8">
        <w:rPr>
          <w:rFonts w:ascii="Arial" w:hAnsi="Arial" w:cs="Arial"/>
          <w:sz w:val="24"/>
          <w:szCs w:val="24"/>
        </w:rPr>
        <w:t xml:space="preserve"> Lancet, 2015. </w:t>
      </w:r>
      <w:r w:rsidRPr="004B75B8">
        <w:rPr>
          <w:rFonts w:ascii="Arial" w:hAnsi="Arial" w:cs="Arial"/>
          <w:b/>
          <w:sz w:val="24"/>
          <w:szCs w:val="24"/>
        </w:rPr>
        <w:t>386</w:t>
      </w:r>
      <w:r w:rsidRPr="004B75B8">
        <w:rPr>
          <w:rFonts w:ascii="Arial" w:hAnsi="Arial" w:cs="Arial"/>
          <w:sz w:val="24"/>
          <w:szCs w:val="24"/>
        </w:rPr>
        <w:t>(9995): p. 743-800.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w:t>
      </w:r>
      <w:r w:rsidRPr="004B75B8">
        <w:rPr>
          <w:rFonts w:ascii="Arial" w:hAnsi="Arial" w:cs="Arial"/>
          <w:sz w:val="24"/>
          <w:szCs w:val="24"/>
        </w:rPr>
        <w:tab/>
        <w:t xml:space="preserve">Baykan, B., et al., </w:t>
      </w:r>
      <w:r w:rsidRPr="004B75B8">
        <w:rPr>
          <w:rFonts w:ascii="Arial" w:hAnsi="Arial" w:cs="Arial"/>
          <w:i/>
          <w:sz w:val="24"/>
          <w:szCs w:val="24"/>
        </w:rPr>
        <w:t>Migraine incidence in 5 years: a population-based prospective longitudinal study in Turkey.</w:t>
      </w:r>
      <w:r w:rsidRPr="004B75B8">
        <w:rPr>
          <w:rFonts w:ascii="Arial" w:hAnsi="Arial" w:cs="Arial"/>
          <w:sz w:val="24"/>
          <w:szCs w:val="24"/>
        </w:rPr>
        <w:t xml:space="preserve"> J Headache Pain, 2015. </w:t>
      </w:r>
      <w:r w:rsidRPr="004B75B8">
        <w:rPr>
          <w:rFonts w:ascii="Arial" w:hAnsi="Arial" w:cs="Arial"/>
          <w:b/>
          <w:sz w:val="24"/>
          <w:szCs w:val="24"/>
        </w:rPr>
        <w:t>16</w:t>
      </w:r>
      <w:r w:rsidRPr="004B75B8">
        <w:rPr>
          <w:rFonts w:ascii="Arial" w:hAnsi="Arial" w:cs="Arial"/>
          <w:sz w:val="24"/>
          <w:szCs w:val="24"/>
        </w:rPr>
        <w:t>: p. 103.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w:t>
      </w:r>
      <w:r w:rsidRPr="004B75B8">
        <w:rPr>
          <w:rFonts w:ascii="Arial" w:hAnsi="Arial" w:cs="Arial"/>
          <w:sz w:val="24"/>
          <w:szCs w:val="24"/>
        </w:rPr>
        <w:tab/>
        <w:t xml:space="preserve">Stewart, W.F., et al., </w:t>
      </w:r>
      <w:r w:rsidRPr="004B75B8">
        <w:rPr>
          <w:rFonts w:ascii="Arial" w:hAnsi="Arial" w:cs="Arial"/>
          <w:i/>
          <w:sz w:val="24"/>
          <w:szCs w:val="24"/>
        </w:rPr>
        <w:t>Age- and sex-specific incidence rates of migraine with and without visual aura.</w:t>
      </w:r>
      <w:r w:rsidRPr="004B75B8">
        <w:rPr>
          <w:rFonts w:ascii="Arial" w:hAnsi="Arial" w:cs="Arial"/>
          <w:sz w:val="24"/>
          <w:szCs w:val="24"/>
        </w:rPr>
        <w:t xml:space="preserve"> Am J Epidemiol, 1991. </w:t>
      </w:r>
      <w:r w:rsidRPr="004B75B8">
        <w:rPr>
          <w:rFonts w:ascii="Arial" w:hAnsi="Arial" w:cs="Arial"/>
          <w:b/>
          <w:sz w:val="24"/>
          <w:szCs w:val="24"/>
        </w:rPr>
        <w:t>134</w:t>
      </w:r>
      <w:r w:rsidRPr="004B75B8">
        <w:rPr>
          <w:rFonts w:ascii="Arial" w:hAnsi="Arial" w:cs="Arial"/>
          <w:sz w:val="24"/>
          <w:szCs w:val="24"/>
        </w:rPr>
        <w:t>(10): p. 1111-20.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w:t>
      </w:r>
      <w:r w:rsidRPr="004B75B8">
        <w:rPr>
          <w:rFonts w:ascii="Arial" w:hAnsi="Arial" w:cs="Arial"/>
          <w:sz w:val="24"/>
          <w:szCs w:val="24"/>
        </w:rPr>
        <w:tab/>
        <w:t xml:space="preserve">Stang, P.E., J.T. Osterhaus, and D.D. Celentano, </w:t>
      </w:r>
      <w:r w:rsidRPr="004B75B8">
        <w:rPr>
          <w:rFonts w:ascii="Arial" w:hAnsi="Arial" w:cs="Arial"/>
          <w:i/>
          <w:sz w:val="24"/>
          <w:szCs w:val="24"/>
        </w:rPr>
        <w:t>Migraine. Patterns of healthcare use.</w:t>
      </w:r>
      <w:r w:rsidRPr="004B75B8">
        <w:rPr>
          <w:rFonts w:ascii="Arial" w:hAnsi="Arial" w:cs="Arial"/>
          <w:sz w:val="24"/>
          <w:szCs w:val="24"/>
        </w:rPr>
        <w:t xml:space="preserve"> Neurology, 1994. </w:t>
      </w:r>
      <w:r w:rsidRPr="004B75B8">
        <w:rPr>
          <w:rFonts w:ascii="Arial" w:hAnsi="Arial" w:cs="Arial"/>
          <w:b/>
          <w:sz w:val="24"/>
          <w:szCs w:val="24"/>
        </w:rPr>
        <w:t>44</w:t>
      </w:r>
      <w:r w:rsidRPr="004B75B8">
        <w:rPr>
          <w:rFonts w:ascii="Arial" w:hAnsi="Arial" w:cs="Arial"/>
          <w:sz w:val="24"/>
          <w:szCs w:val="24"/>
        </w:rPr>
        <w:t>(6 Suppl 4): p. S47-55.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w:t>
      </w:r>
      <w:r w:rsidRPr="004B75B8">
        <w:rPr>
          <w:rFonts w:ascii="Arial" w:hAnsi="Arial" w:cs="Arial"/>
          <w:sz w:val="24"/>
          <w:szCs w:val="24"/>
        </w:rPr>
        <w:tab/>
        <w:t xml:space="preserve">Stang, P.E., et al., </w:t>
      </w:r>
      <w:r w:rsidRPr="004B75B8">
        <w:rPr>
          <w:rFonts w:ascii="Arial" w:hAnsi="Arial" w:cs="Arial"/>
          <w:i/>
          <w:sz w:val="24"/>
          <w:szCs w:val="24"/>
        </w:rPr>
        <w:t>Incidence of migraine headache: a population-based study in Olmsted County, Minnesota.</w:t>
      </w:r>
      <w:r w:rsidRPr="004B75B8">
        <w:rPr>
          <w:rFonts w:ascii="Arial" w:hAnsi="Arial" w:cs="Arial"/>
          <w:sz w:val="24"/>
          <w:szCs w:val="24"/>
        </w:rPr>
        <w:t xml:space="preserve"> Neurology, 1992. </w:t>
      </w:r>
      <w:r w:rsidRPr="004B75B8">
        <w:rPr>
          <w:rFonts w:ascii="Arial" w:hAnsi="Arial" w:cs="Arial"/>
          <w:b/>
          <w:sz w:val="24"/>
          <w:szCs w:val="24"/>
        </w:rPr>
        <w:t>42</w:t>
      </w:r>
      <w:r w:rsidRPr="004B75B8">
        <w:rPr>
          <w:rFonts w:ascii="Arial" w:hAnsi="Arial" w:cs="Arial"/>
          <w:sz w:val="24"/>
          <w:szCs w:val="24"/>
        </w:rPr>
        <w:t>(9): p. 1657-62.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w:t>
      </w:r>
      <w:r w:rsidRPr="004B75B8">
        <w:rPr>
          <w:rFonts w:ascii="Arial" w:hAnsi="Arial" w:cs="Arial"/>
          <w:sz w:val="24"/>
          <w:szCs w:val="24"/>
        </w:rPr>
        <w:tab/>
        <w:t xml:space="preserve">Becker, C., et al., </w:t>
      </w:r>
      <w:r w:rsidRPr="004B75B8">
        <w:rPr>
          <w:rFonts w:ascii="Arial" w:hAnsi="Arial" w:cs="Arial"/>
          <w:i/>
          <w:sz w:val="24"/>
          <w:szCs w:val="24"/>
        </w:rPr>
        <w:t>Migraine incidence, comorbidity and health resource utilization in the UK.</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(1): p. 57-64.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w:t>
      </w:r>
      <w:r w:rsidRPr="004B75B8">
        <w:rPr>
          <w:rFonts w:ascii="Arial" w:hAnsi="Arial" w:cs="Arial"/>
          <w:sz w:val="24"/>
          <w:szCs w:val="24"/>
        </w:rPr>
        <w:tab/>
        <w:t xml:space="preserve">Stewart, W.F., et al., </w:t>
      </w:r>
      <w:r w:rsidRPr="004B75B8">
        <w:rPr>
          <w:rFonts w:ascii="Arial" w:hAnsi="Arial" w:cs="Arial"/>
          <w:i/>
          <w:sz w:val="24"/>
          <w:szCs w:val="24"/>
        </w:rPr>
        <w:t>Cumulative lifetime migraine incidence in women and men.</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(11): p. 1170-8.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w:t>
      </w:r>
      <w:r w:rsidRPr="004B75B8">
        <w:rPr>
          <w:rFonts w:ascii="Arial" w:hAnsi="Arial" w:cs="Arial"/>
          <w:sz w:val="24"/>
          <w:szCs w:val="24"/>
        </w:rPr>
        <w:tab/>
        <w:t xml:space="preserve">Lyngberg, A.C., et al., </w:t>
      </w:r>
      <w:r w:rsidRPr="004B75B8">
        <w:rPr>
          <w:rFonts w:ascii="Arial" w:hAnsi="Arial" w:cs="Arial"/>
          <w:i/>
          <w:sz w:val="24"/>
          <w:szCs w:val="24"/>
        </w:rPr>
        <w:t>Incidence of primary headache: a Danish epidemiologic follow-up study.</w:t>
      </w:r>
      <w:r w:rsidRPr="004B75B8">
        <w:rPr>
          <w:rFonts w:ascii="Arial" w:hAnsi="Arial" w:cs="Arial"/>
          <w:sz w:val="24"/>
          <w:szCs w:val="24"/>
        </w:rPr>
        <w:t xml:space="preserve"> Am J Epidemiol, 2005. </w:t>
      </w:r>
      <w:r w:rsidRPr="004B75B8">
        <w:rPr>
          <w:rFonts w:ascii="Arial" w:hAnsi="Arial" w:cs="Arial"/>
          <w:b/>
          <w:sz w:val="24"/>
          <w:szCs w:val="24"/>
        </w:rPr>
        <w:t>161</w:t>
      </w:r>
      <w:r w:rsidRPr="004B75B8">
        <w:rPr>
          <w:rFonts w:ascii="Arial" w:hAnsi="Arial" w:cs="Arial"/>
          <w:sz w:val="24"/>
          <w:szCs w:val="24"/>
        </w:rPr>
        <w:t>(11): p. 1066-73.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w:t>
      </w:r>
      <w:r w:rsidRPr="004B75B8">
        <w:rPr>
          <w:rFonts w:ascii="Arial" w:hAnsi="Arial" w:cs="Arial"/>
          <w:sz w:val="24"/>
          <w:szCs w:val="24"/>
        </w:rPr>
        <w:tab/>
        <w:t xml:space="preserve">Stewart, W.F., et al., </w:t>
      </w:r>
      <w:r w:rsidRPr="004B75B8">
        <w:rPr>
          <w:rFonts w:ascii="Arial" w:hAnsi="Arial" w:cs="Arial"/>
          <w:i/>
          <w:sz w:val="24"/>
          <w:szCs w:val="24"/>
        </w:rPr>
        <w:t>Prevalence of migraine headache in the United States. Relation to age, income, race, and other sociodemographic factors.</w:t>
      </w:r>
      <w:r w:rsidRPr="004B75B8">
        <w:rPr>
          <w:rFonts w:ascii="Arial" w:hAnsi="Arial" w:cs="Arial"/>
          <w:sz w:val="24"/>
          <w:szCs w:val="24"/>
        </w:rPr>
        <w:t xml:space="preserve"> JAMA, 1992. </w:t>
      </w:r>
      <w:r w:rsidRPr="004B75B8">
        <w:rPr>
          <w:rFonts w:ascii="Arial" w:hAnsi="Arial" w:cs="Arial"/>
          <w:b/>
          <w:sz w:val="24"/>
          <w:szCs w:val="24"/>
        </w:rPr>
        <w:t>267</w:t>
      </w:r>
      <w:r w:rsidRPr="004B75B8">
        <w:rPr>
          <w:rFonts w:ascii="Arial" w:hAnsi="Arial" w:cs="Arial"/>
          <w:sz w:val="24"/>
          <w:szCs w:val="24"/>
        </w:rPr>
        <w:t>(1): p. 64-9.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w:t>
      </w:r>
      <w:r w:rsidRPr="004B75B8">
        <w:rPr>
          <w:rFonts w:ascii="Arial" w:hAnsi="Arial" w:cs="Arial"/>
          <w:sz w:val="24"/>
          <w:szCs w:val="24"/>
        </w:rPr>
        <w:tab/>
        <w:t xml:space="preserve">Lipton, R.B., et al., </w:t>
      </w:r>
      <w:r w:rsidRPr="004B75B8">
        <w:rPr>
          <w:rFonts w:ascii="Arial" w:hAnsi="Arial" w:cs="Arial"/>
          <w:i/>
          <w:sz w:val="24"/>
          <w:szCs w:val="24"/>
        </w:rPr>
        <w:t>Prevalence and burden of migraine in the United States: data from the American Migraine Study II.</w:t>
      </w:r>
      <w:r w:rsidRPr="004B75B8">
        <w:rPr>
          <w:rFonts w:ascii="Arial" w:hAnsi="Arial" w:cs="Arial"/>
          <w:sz w:val="24"/>
          <w:szCs w:val="24"/>
        </w:rPr>
        <w:t xml:space="preserve"> Headache, 2001. </w:t>
      </w:r>
      <w:r w:rsidRPr="004B75B8">
        <w:rPr>
          <w:rFonts w:ascii="Arial" w:hAnsi="Arial" w:cs="Arial"/>
          <w:b/>
          <w:sz w:val="24"/>
          <w:szCs w:val="24"/>
        </w:rPr>
        <w:t>41</w:t>
      </w:r>
      <w:r w:rsidRPr="004B75B8">
        <w:rPr>
          <w:rFonts w:ascii="Arial" w:hAnsi="Arial" w:cs="Arial"/>
          <w:sz w:val="24"/>
          <w:szCs w:val="24"/>
        </w:rPr>
        <w:t>(7): p. 646-57.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w:t>
      </w:r>
      <w:r w:rsidRPr="004B75B8">
        <w:rPr>
          <w:rFonts w:ascii="Arial" w:hAnsi="Arial" w:cs="Arial"/>
          <w:sz w:val="24"/>
          <w:szCs w:val="24"/>
        </w:rPr>
        <w:tab/>
        <w:t xml:space="preserve">Rasmussen, B.K., </w:t>
      </w:r>
      <w:r w:rsidRPr="004B75B8">
        <w:rPr>
          <w:rFonts w:ascii="Arial" w:hAnsi="Arial" w:cs="Arial"/>
          <w:i/>
          <w:sz w:val="24"/>
          <w:szCs w:val="24"/>
        </w:rPr>
        <w:t>Epidemiology of headache.</w:t>
      </w:r>
      <w:r w:rsidRPr="004B75B8">
        <w:rPr>
          <w:rFonts w:ascii="Arial" w:hAnsi="Arial" w:cs="Arial"/>
          <w:sz w:val="24"/>
          <w:szCs w:val="24"/>
        </w:rPr>
        <w:t xml:space="preserve"> Cephalalgia, 2001. </w:t>
      </w:r>
      <w:r w:rsidRPr="004B75B8">
        <w:rPr>
          <w:rFonts w:ascii="Arial" w:hAnsi="Arial" w:cs="Arial"/>
          <w:b/>
          <w:sz w:val="24"/>
          <w:szCs w:val="24"/>
        </w:rPr>
        <w:t>21</w:t>
      </w:r>
      <w:r w:rsidRPr="004B75B8">
        <w:rPr>
          <w:rFonts w:ascii="Arial" w:hAnsi="Arial" w:cs="Arial"/>
          <w:sz w:val="24"/>
          <w:szCs w:val="24"/>
        </w:rPr>
        <w:t>(7): p. 774-7.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w:t>
      </w:r>
      <w:r w:rsidRPr="004B75B8">
        <w:rPr>
          <w:rFonts w:ascii="Arial" w:hAnsi="Arial" w:cs="Arial"/>
          <w:sz w:val="24"/>
          <w:szCs w:val="24"/>
        </w:rPr>
        <w:tab/>
        <w:t xml:space="preserve">Headache Classification Committee of the International Headache, S., </w:t>
      </w:r>
      <w:r w:rsidRPr="004B75B8">
        <w:rPr>
          <w:rFonts w:ascii="Arial" w:hAnsi="Arial" w:cs="Arial"/>
          <w:i/>
          <w:sz w:val="24"/>
          <w:szCs w:val="24"/>
        </w:rPr>
        <w:t>The International Classification of Headache Disorders, 3rd edition (beta version).</w:t>
      </w:r>
      <w:r w:rsidRPr="004B75B8">
        <w:rPr>
          <w:rFonts w:ascii="Arial" w:hAnsi="Arial" w:cs="Arial"/>
          <w:sz w:val="24"/>
          <w:szCs w:val="24"/>
        </w:rPr>
        <w:t xml:space="preserve"> Cephalalgia, 2013. </w:t>
      </w:r>
      <w:r w:rsidRPr="004B75B8">
        <w:rPr>
          <w:rFonts w:ascii="Arial" w:hAnsi="Arial" w:cs="Arial"/>
          <w:b/>
          <w:sz w:val="24"/>
          <w:szCs w:val="24"/>
        </w:rPr>
        <w:t>33</w:t>
      </w:r>
      <w:r w:rsidRPr="004B75B8">
        <w:rPr>
          <w:rFonts w:ascii="Arial" w:hAnsi="Arial" w:cs="Arial"/>
          <w:sz w:val="24"/>
          <w:szCs w:val="24"/>
        </w:rPr>
        <w:t>(9): p. 629-808.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w:t>
      </w:r>
      <w:r w:rsidRPr="004B75B8">
        <w:rPr>
          <w:rFonts w:ascii="Arial" w:hAnsi="Arial" w:cs="Arial"/>
          <w:sz w:val="24"/>
          <w:szCs w:val="24"/>
        </w:rPr>
        <w:tab/>
        <w:t xml:space="preserve">Charles, A., </w:t>
      </w:r>
      <w:r w:rsidRPr="004B75B8">
        <w:rPr>
          <w:rFonts w:ascii="Arial" w:hAnsi="Arial" w:cs="Arial"/>
          <w:i/>
          <w:sz w:val="24"/>
          <w:szCs w:val="24"/>
        </w:rPr>
        <w:t>The evolution of a migraine attack - a review of recent evidence.</w:t>
      </w:r>
      <w:r w:rsidRPr="004B75B8">
        <w:rPr>
          <w:rFonts w:ascii="Arial" w:hAnsi="Arial" w:cs="Arial"/>
          <w:sz w:val="24"/>
          <w:szCs w:val="24"/>
        </w:rPr>
        <w:t xml:space="preserve"> Headache, 2013. </w:t>
      </w:r>
      <w:r w:rsidRPr="004B75B8">
        <w:rPr>
          <w:rFonts w:ascii="Arial" w:hAnsi="Arial" w:cs="Arial"/>
          <w:b/>
          <w:sz w:val="24"/>
          <w:szCs w:val="24"/>
        </w:rPr>
        <w:t>53</w:t>
      </w:r>
      <w:r w:rsidRPr="004B75B8">
        <w:rPr>
          <w:rFonts w:ascii="Arial" w:hAnsi="Arial" w:cs="Arial"/>
          <w:sz w:val="24"/>
          <w:szCs w:val="24"/>
        </w:rPr>
        <w:t>(2): p. 413-9.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w:t>
      </w:r>
      <w:r w:rsidRPr="004B75B8">
        <w:rPr>
          <w:rFonts w:ascii="Arial" w:hAnsi="Arial" w:cs="Arial"/>
          <w:sz w:val="24"/>
          <w:szCs w:val="24"/>
        </w:rPr>
        <w:tab/>
        <w:t xml:space="preserve">Laurell, K., et al., </w:t>
      </w:r>
      <w:r w:rsidRPr="004B75B8">
        <w:rPr>
          <w:rFonts w:ascii="Arial" w:hAnsi="Arial" w:cs="Arial"/>
          <w:i/>
          <w:sz w:val="24"/>
          <w:szCs w:val="24"/>
        </w:rPr>
        <w:t>Premonitory symptoms in migraine: A cross-sectional study in 2714 persons.</w:t>
      </w:r>
      <w:r w:rsidRPr="004B75B8">
        <w:rPr>
          <w:rFonts w:ascii="Arial" w:hAnsi="Arial" w:cs="Arial"/>
          <w:sz w:val="24"/>
          <w:szCs w:val="24"/>
        </w:rPr>
        <w:t xml:space="preserve"> Cephalalgia, 2016. </w:t>
      </w:r>
      <w:r w:rsidRPr="004B75B8">
        <w:rPr>
          <w:rFonts w:ascii="Arial" w:hAnsi="Arial" w:cs="Arial"/>
          <w:b/>
          <w:sz w:val="24"/>
          <w:szCs w:val="24"/>
        </w:rPr>
        <w:t>36</w:t>
      </w:r>
      <w:r w:rsidRPr="004B75B8">
        <w:rPr>
          <w:rFonts w:ascii="Arial" w:hAnsi="Arial" w:cs="Arial"/>
          <w:sz w:val="24"/>
          <w:szCs w:val="24"/>
        </w:rPr>
        <w:t>(10): p. 951-9.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15.</w:t>
      </w:r>
      <w:r w:rsidRPr="004B75B8">
        <w:rPr>
          <w:rFonts w:ascii="Arial" w:hAnsi="Arial" w:cs="Arial"/>
          <w:sz w:val="24"/>
          <w:szCs w:val="24"/>
        </w:rPr>
        <w:tab/>
        <w:t xml:space="preserve">Kelman, L., </w:t>
      </w:r>
      <w:r w:rsidRPr="004B75B8">
        <w:rPr>
          <w:rFonts w:ascii="Arial" w:hAnsi="Arial" w:cs="Arial"/>
          <w:i/>
          <w:sz w:val="24"/>
          <w:szCs w:val="24"/>
        </w:rPr>
        <w:t>The premonitory symptoms (prodrome): a tertiary care study of 893 migraineurs.</w:t>
      </w:r>
      <w:r w:rsidRPr="004B75B8">
        <w:rPr>
          <w:rFonts w:ascii="Arial" w:hAnsi="Arial" w:cs="Arial"/>
          <w:sz w:val="24"/>
          <w:szCs w:val="24"/>
        </w:rPr>
        <w:t xml:space="preserve"> Headache, 2004. </w:t>
      </w:r>
      <w:r w:rsidRPr="004B75B8">
        <w:rPr>
          <w:rFonts w:ascii="Arial" w:hAnsi="Arial" w:cs="Arial"/>
          <w:b/>
          <w:sz w:val="24"/>
          <w:szCs w:val="24"/>
        </w:rPr>
        <w:t>44</w:t>
      </w:r>
      <w:r w:rsidRPr="004B75B8">
        <w:rPr>
          <w:rFonts w:ascii="Arial" w:hAnsi="Arial" w:cs="Arial"/>
          <w:sz w:val="24"/>
          <w:szCs w:val="24"/>
        </w:rPr>
        <w:t>(9): p. 865-72.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w:t>
      </w:r>
      <w:r w:rsidRPr="004B75B8">
        <w:rPr>
          <w:rFonts w:ascii="Arial" w:hAnsi="Arial" w:cs="Arial"/>
          <w:sz w:val="24"/>
          <w:szCs w:val="24"/>
        </w:rPr>
        <w:tab/>
        <w:t xml:space="preserve">Quintela, E., et al., </w:t>
      </w:r>
      <w:r w:rsidRPr="004B75B8">
        <w:rPr>
          <w:rFonts w:ascii="Arial" w:hAnsi="Arial" w:cs="Arial"/>
          <w:i/>
          <w:sz w:val="24"/>
          <w:szCs w:val="24"/>
        </w:rPr>
        <w:t>Premonitory and resolution symptoms in migraine: a prospective study in 100 unselected patients.</w:t>
      </w:r>
      <w:r w:rsidRPr="004B75B8">
        <w:rPr>
          <w:rFonts w:ascii="Arial" w:hAnsi="Arial" w:cs="Arial"/>
          <w:sz w:val="24"/>
          <w:szCs w:val="24"/>
        </w:rPr>
        <w:t xml:space="preserve"> Cephalalgia, 2006. </w:t>
      </w:r>
      <w:r w:rsidRPr="004B75B8">
        <w:rPr>
          <w:rFonts w:ascii="Arial" w:hAnsi="Arial" w:cs="Arial"/>
          <w:b/>
          <w:sz w:val="24"/>
          <w:szCs w:val="24"/>
        </w:rPr>
        <w:t>26</w:t>
      </w:r>
      <w:r w:rsidRPr="004B75B8">
        <w:rPr>
          <w:rFonts w:ascii="Arial" w:hAnsi="Arial" w:cs="Arial"/>
          <w:sz w:val="24"/>
          <w:szCs w:val="24"/>
        </w:rPr>
        <w:t>(9): p. 1051-60.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w:t>
      </w:r>
      <w:r w:rsidRPr="004B75B8">
        <w:rPr>
          <w:rFonts w:ascii="Arial" w:hAnsi="Arial" w:cs="Arial"/>
          <w:sz w:val="24"/>
          <w:szCs w:val="24"/>
        </w:rPr>
        <w:tab/>
        <w:t xml:space="preserve">Schoonman, G.G., et al., </w:t>
      </w:r>
      <w:r w:rsidRPr="004B75B8">
        <w:rPr>
          <w:rFonts w:ascii="Arial" w:hAnsi="Arial" w:cs="Arial"/>
          <w:i/>
          <w:sz w:val="24"/>
          <w:szCs w:val="24"/>
        </w:rPr>
        <w:t>The prevalence of premonitory symptoms in migraine: a questionnaire study in 461 patients.</w:t>
      </w:r>
      <w:r w:rsidRPr="004B75B8">
        <w:rPr>
          <w:rFonts w:ascii="Arial" w:hAnsi="Arial" w:cs="Arial"/>
          <w:sz w:val="24"/>
          <w:szCs w:val="24"/>
        </w:rPr>
        <w:t xml:space="preserve"> Cephalalgia, 2006. </w:t>
      </w:r>
      <w:r w:rsidRPr="004B75B8">
        <w:rPr>
          <w:rFonts w:ascii="Arial" w:hAnsi="Arial" w:cs="Arial"/>
          <w:b/>
          <w:sz w:val="24"/>
          <w:szCs w:val="24"/>
        </w:rPr>
        <w:t>26</w:t>
      </w:r>
      <w:r w:rsidRPr="004B75B8">
        <w:rPr>
          <w:rFonts w:ascii="Arial" w:hAnsi="Arial" w:cs="Arial"/>
          <w:sz w:val="24"/>
          <w:szCs w:val="24"/>
        </w:rPr>
        <w:t>(10): p. 1209-13.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w:t>
      </w:r>
      <w:r w:rsidRPr="004B75B8">
        <w:rPr>
          <w:rFonts w:ascii="Arial" w:hAnsi="Arial" w:cs="Arial"/>
          <w:sz w:val="24"/>
          <w:szCs w:val="24"/>
        </w:rPr>
        <w:tab/>
        <w:t xml:space="preserve">Hansen, J.M., et al., </w:t>
      </w:r>
      <w:r w:rsidRPr="004B75B8">
        <w:rPr>
          <w:rFonts w:ascii="Arial" w:hAnsi="Arial" w:cs="Arial"/>
          <w:i/>
          <w:sz w:val="24"/>
          <w:szCs w:val="24"/>
        </w:rPr>
        <w:t>Migraine headache is present in the aura phase: a prospective study.</w:t>
      </w:r>
      <w:r w:rsidRPr="004B75B8">
        <w:rPr>
          <w:rFonts w:ascii="Arial" w:hAnsi="Arial" w:cs="Arial"/>
          <w:sz w:val="24"/>
          <w:szCs w:val="24"/>
        </w:rPr>
        <w:t xml:space="preserve"> Neurology, 2012. </w:t>
      </w:r>
      <w:r w:rsidRPr="004B75B8">
        <w:rPr>
          <w:rFonts w:ascii="Arial" w:hAnsi="Arial" w:cs="Arial"/>
          <w:b/>
          <w:sz w:val="24"/>
          <w:szCs w:val="24"/>
        </w:rPr>
        <w:t>79</w:t>
      </w:r>
      <w:r w:rsidRPr="004B75B8">
        <w:rPr>
          <w:rFonts w:ascii="Arial" w:hAnsi="Arial" w:cs="Arial"/>
          <w:sz w:val="24"/>
          <w:szCs w:val="24"/>
        </w:rPr>
        <w:t>(20): p. 2044-9.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w:t>
      </w:r>
      <w:r w:rsidRPr="004B75B8">
        <w:rPr>
          <w:rFonts w:ascii="Arial" w:hAnsi="Arial" w:cs="Arial"/>
          <w:sz w:val="24"/>
          <w:szCs w:val="24"/>
        </w:rPr>
        <w:tab/>
        <w:t xml:space="preserve">Cutrer, F.M. and K. Huerter, </w:t>
      </w:r>
      <w:r w:rsidRPr="004B75B8">
        <w:rPr>
          <w:rFonts w:ascii="Arial" w:hAnsi="Arial" w:cs="Arial"/>
          <w:i/>
          <w:sz w:val="24"/>
          <w:szCs w:val="24"/>
        </w:rPr>
        <w:t>Migraine aura.</w:t>
      </w:r>
      <w:r w:rsidRPr="004B75B8">
        <w:rPr>
          <w:rFonts w:ascii="Arial" w:hAnsi="Arial" w:cs="Arial"/>
          <w:sz w:val="24"/>
          <w:szCs w:val="24"/>
        </w:rPr>
        <w:t xml:space="preserve"> Neurologist, 2007. </w:t>
      </w:r>
      <w:r w:rsidRPr="004B75B8">
        <w:rPr>
          <w:rFonts w:ascii="Arial" w:hAnsi="Arial" w:cs="Arial"/>
          <w:b/>
          <w:sz w:val="24"/>
          <w:szCs w:val="24"/>
        </w:rPr>
        <w:t>13</w:t>
      </w:r>
      <w:r w:rsidRPr="004B75B8">
        <w:rPr>
          <w:rFonts w:ascii="Arial" w:hAnsi="Arial" w:cs="Arial"/>
          <w:sz w:val="24"/>
          <w:szCs w:val="24"/>
        </w:rPr>
        <w:t>(3): p. 118-25.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w:t>
      </w:r>
      <w:r w:rsidRPr="004B75B8">
        <w:rPr>
          <w:rFonts w:ascii="Arial" w:hAnsi="Arial" w:cs="Arial"/>
          <w:sz w:val="24"/>
          <w:szCs w:val="24"/>
        </w:rPr>
        <w:tab/>
        <w:t xml:space="preserve">Russell, M.B. and J. Olesen, </w:t>
      </w:r>
      <w:r w:rsidRPr="004B75B8">
        <w:rPr>
          <w:rFonts w:ascii="Arial" w:hAnsi="Arial" w:cs="Arial"/>
          <w:i/>
          <w:sz w:val="24"/>
          <w:szCs w:val="24"/>
        </w:rPr>
        <w:t>A nosographic analysis of the migraine aura in a general population.</w:t>
      </w:r>
      <w:r w:rsidRPr="004B75B8">
        <w:rPr>
          <w:rFonts w:ascii="Arial" w:hAnsi="Arial" w:cs="Arial"/>
          <w:sz w:val="24"/>
          <w:szCs w:val="24"/>
        </w:rPr>
        <w:t xml:space="preserve"> Brain, 1996. </w:t>
      </w:r>
      <w:r w:rsidRPr="004B75B8">
        <w:rPr>
          <w:rFonts w:ascii="Arial" w:hAnsi="Arial" w:cs="Arial"/>
          <w:b/>
          <w:sz w:val="24"/>
          <w:szCs w:val="24"/>
        </w:rPr>
        <w:t>119 ( Pt 2)</w:t>
      </w:r>
      <w:r w:rsidRPr="004B75B8">
        <w:rPr>
          <w:rFonts w:ascii="Arial" w:hAnsi="Arial" w:cs="Arial"/>
          <w:sz w:val="24"/>
          <w:szCs w:val="24"/>
        </w:rPr>
        <w:t>: p. 355-61.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w:t>
      </w:r>
      <w:r w:rsidRPr="004B75B8">
        <w:rPr>
          <w:rFonts w:ascii="Arial" w:hAnsi="Arial" w:cs="Arial"/>
          <w:sz w:val="24"/>
          <w:szCs w:val="24"/>
        </w:rPr>
        <w:tab/>
        <w:t xml:space="preserve">Vongvaivanich, K., et al., </w:t>
      </w:r>
      <w:r w:rsidRPr="004B75B8">
        <w:rPr>
          <w:rFonts w:ascii="Arial" w:hAnsi="Arial" w:cs="Arial"/>
          <w:i/>
          <w:sz w:val="24"/>
          <w:szCs w:val="24"/>
        </w:rPr>
        <w:t>Late-life migraine accompaniments: A narrative review.</w:t>
      </w:r>
      <w:r w:rsidRPr="004B75B8">
        <w:rPr>
          <w:rFonts w:ascii="Arial" w:hAnsi="Arial" w:cs="Arial"/>
          <w:sz w:val="24"/>
          <w:szCs w:val="24"/>
        </w:rPr>
        <w:t xml:space="preserve"> Cephalalgia, 2015. </w:t>
      </w:r>
      <w:r w:rsidRPr="004B75B8">
        <w:rPr>
          <w:rFonts w:ascii="Arial" w:hAnsi="Arial" w:cs="Arial"/>
          <w:b/>
          <w:sz w:val="24"/>
          <w:szCs w:val="24"/>
        </w:rPr>
        <w:t>35</w:t>
      </w:r>
      <w:r w:rsidRPr="004B75B8">
        <w:rPr>
          <w:rFonts w:ascii="Arial" w:hAnsi="Arial" w:cs="Arial"/>
          <w:sz w:val="24"/>
          <w:szCs w:val="24"/>
        </w:rPr>
        <w:t>(10): p. 894-911.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w:t>
      </w:r>
      <w:r w:rsidRPr="004B75B8">
        <w:rPr>
          <w:rFonts w:ascii="Arial" w:hAnsi="Arial" w:cs="Arial"/>
          <w:sz w:val="24"/>
          <w:szCs w:val="24"/>
        </w:rPr>
        <w:tab/>
        <w:t xml:space="preserve">Kelman, L. and D. Tanis, </w:t>
      </w:r>
      <w:r w:rsidRPr="004B75B8">
        <w:rPr>
          <w:rFonts w:ascii="Arial" w:hAnsi="Arial" w:cs="Arial"/>
          <w:i/>
          <w:sz w:val="24"/>
          <w:szCs w:val="24"/>
        </w:rPr>
        <w:t>The relationship between migraine pain and other associated symptoms.</w:t>
      </w:r>
      <w:r w:rsidRPr="004B75B8">
        <w:rPr>
          <w:rFonts w:ascii="Arial" w:hAnsi="Arial" w:cs="Arial"/>
          <w:sz w:val="24"/>
          <w:szCs w:val="24"/>
        </w:rPr>
        <w:t xml:space="preserve"> Cephalalgia, 2006. </w:t>
      </w:r>
      <w:r w:rsidRPr="004B75B8">
        <w:rPr>
          <w:rFonts w:ascii="Arial" w:hAnsi="Arial" w:cs="Arial"/>
          <w:b/>
          <w:sz w:val="24"/>
          <w:szCs w:val="24"/>
        </w:rPr>
        <w:t>26</w:t>
      </w:r>
      <w:r w:rsidRPr="004B75B8">
        <w:rPr>
          <w:rFonts w:ascii="Arial" w:hAnsi="Arial" w:cs="Arial"/>
          <w:sz w:val="24"/>
          <w:szCs w:val="24"/>
        </w:rPr>
        <w:t>(5): p. 548-53.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w:t>
      </w:r>
      <w:r w:rsidRPr="004B75B8">
        <w:rPr>
          <w:rFonts w:ascii="Arial" w:hAnsi="Arial" w:cs="Arial"/>
          <w:sz w:val="24"/>
          <w:szCs w:val="24"/>
        </w:rPr>
        <w:tab/>
        <w:t xml:space="preserve">Kelman, L., </w:t>
      </w:r>
      <w:r w:rsidRPr="004B75B8">
        <w:rPr>
          <w:rFonts w:ascii="Arial" w:hAnsi="Arial" w:cs="Arial"/>
          <w:i/>
          <w:sz w:val="24"/>
          <w:szCs w:val="24"/>
        </w:rPr>
        <w:t>The postdrome of the acute migraine attack.</w:t>
      </w:r>
      <w:r w:rsidRPr="004B75B8">
        <w:rPr>
          <w:rFonts w:ascii="Arial" w:hAnsi="Arial" w:cs="Arial"/>
          <w:sz w:val="24"/>
          <w:szCs w:val="24"/>
        </w:rPr>
        <w:t xml:space="preserve"> Cephalalgia, 2006. </w:t>
      </w:r>
      <w:r w:rsidRPr="004B75B8">
        <w:rPr>
          <w:rFonts w:ascii="Arial" w:hAnsi="Arial" w:cs="Arial"/>
          <w:b/>
          <w:sz w:val="24"/>
          <w:szCs w:val="24"/>
        </w:rPr>
        <w:t>26</w:t>
      </w:r>
      <w:r w:rsidRPr="004B75B8">
        <w:rPr>
          <w:rFonts w:ascii="Arial" w:hAnsi="Arial" w:cs="Arial"/>
          <w:sz w:val="24"/>
          <w:szCs w:val="24"/>
        </w:rPr>
        <w:t>(2): p. 214-20.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w:t>
      </w:r>
      <w:r w:rsidRPr="004B75B8">
        <w:rPr>
          <w:rFonts w:ascii="Arial" w:hAnsi="Arial" w:cs="Arial"/>
          <w:sz w:val="24"/>
          <w:szCs w:val="24"/>
        </w:rPr>
        <w:tab/>
        <w:t xml:space="preserve">Giffin, N.J., et al., </w:t>
      </w:r>
      <w:r w:rsidRPr="004B75B8">
        <w:rPr>
          <w:rFonts w:ascii="Arial" w:hAnsi="Arial" w:cs="Arial"/>
          <w:i/>
          <w:sz w:val="24"/>
          <w:szCs w:val="24"/>
        </w:rPr>
        <w:t>The migraine postdrome: An electronic diary study.</w:t>
      </w:r>
      <w:r w:rsidRPr="004B75B8">
        <w:rPr>
          <w:rFonts w:ascii="Arial" w:hAnsi="Arial" w:cs="Arial"/>
          <w:sz w:val="24"/>
          <w:szCs w:val="24"/>
        </w:rPr>
        <w:t xml:space="preserve"> Neurology, 2016. </w:t>
      </w:r>
      <w:r w:rsidRPr="004B75B8">
        <w:rPr>
          <w:rFonts w:ascii="Arial" w:hAnsi="Arial" w:cs="Arial"/>
          <w:b/>
          <w:sz w:val="24"/>
          <w:szCs w:val="24"/>
        </w:rPr>
        <w:t>87</w:t>
      </w:r>
      <w:r w:rsidRPr="004B75B8">
        <w:rPr>
          <w:rFonts w:ascii="Arial" w:hAnsi="Arial" w:cs="Arial"/>
          <w:sz w:val="24"/>
          <w:szCs w:val="24"/>
        </w:rPr>
        <w:t>(3): p. 309-13.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w:t>
      </w:r>
      <w:r w:rsidRPr="004B75B8">
        <w:rPr>
          <w:rFonts w:ascii="Arial" w:hAnsi="Arial" w:cs="Arial"/>
          <w:sz w:val="24"/>
          <w:szCs w:val="24"/>
        </w:rPr>
        <w:tab/>
        <w:t xml:space="preserve">Kelman, L., </w:t>
      </w:r>
      <w:r w:rsidRPr="004B75B8">
        <w:rPr>
          <w:rFonts w:ascii="Arial" w:hAnsi="Arial" w:cs="Arial"/>
          <w:i/>
          <w:sz w:val="24"/>
          <w:szCs w:val="24"/>
        </w:rPr>
        <w:t>The triggers or precipitants of the acute migraine attack.</w:t>
      </w:r>
      <w:r w:rsidRPr="004B75B8">
        <w:rPr>
          <w:rFonts w:ascii="Arial" w:hAnsi="Arial" w:cs="Arial"/>
          <w:sz w:val="24"/>
          <w:szCs w:val="24"/>
        </w:rPr>
        <w:t xml:space="preserve"> Cephalalgia, 2007. </w:t>
      </w:r>
      <w:r w:rsidRPr="004B75B8">
        <w:rPr>
          <w:rFonts w:ascii="Arial" w:hAnsi="Arial" w:cs="Arial"/>
          <w:b/>
          <w:sz w:val="24"/>
          <w:szCs w:val="24"/>
        </w:rPr>
        <w:t>27</w:t>
      </w:r>
      <w:r w:rsidRPr="004B75B8">
        <w:rPr>
          <w:rFonts w:ascii="Arial" w:hAnsi="Arial" w:cs="Arial"/>
          <w:sz w:val="24"/>
          <w:szCs w:val="24"/>
        </w:rPr>
        <w:t>(5): p. 394-402.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w:t>
      </w:r>
      <w:r w:rsidRPr="004B75B8">
        <w:rPr>
          <w:rFonts w:ascii="Arial" w:hAnsi="Arial" w:cs="Arial"/>
          <w:sz w:val="24"/>
          <w:szCs w:val="24"/>
        </w:rPr>
        <w:tab/>
        <w:t xml:space="preserve">Corbett, J.J., </w:t>
      </w:r>
      <w:r w:rsidRPr="004B75B8">
        <w:rPr>
          <w:rFonts w:ascii="Arial" w:hAnsi="Arial" w:cs="Arial"/>
          <w:i/>
          <w:sz w:val="24"/>
          <w:szCs w:val="24"/>
        </w:rPr>
        <w:t>Neuro-ophthalmic complications of migraine and cluster headaches.</w:t>
      </w:r>
      <w:r w:rsidRPr="004B75B8">
        <w:rPr>
          <w:rFonts w:ascii="Arial" w:hAnsi="Arial" w:cs="Arial"/>
          <w:sz w:val="24"/>
          <w:szCs w:val="24"/>
        </w:rPr>
        <w:t xml:space="preserve"> Neurol Clin, 1983. </w:t>
      </w:r>
      <w:r w:rsidRPr="004B75B8">
        <w:rPr>
          <w:rFonts w:ascii="Arial" w:hAnsi="Arial" w:cs="Arial"/>
          <w:b/>
          <w:sz w:val="24"/>
          <w:szCs w:val="24"/>
        </w:rPr>
        <w:t>1</w:t>
      </w:r>
      <w:r w:rsidRPr="004B75B8">
        <w:rPr>
          <w:rFonts w:ascii="Arial" w:hAnsi="Arial" w:cs="Arial"/>
          <w:sz w:val="24"/>
          <w:szCs w:val="24"/>
        </w:rPr>
        <w:t>(4): p. 973-95.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w:t>
      </w:r>
      <w:r w:rsidRPr="004B75B8">
        <w:rPr>
          <w:rFonts w:ascii="Arial" w:hAnsi="Arial" w:cs="Arial"/>
          <w:sz w:val="24"/>
          <w:szCs w:val="24"/>
        </w:rPr>
        <w:tab/>
        <w:t xml:space="preserve">Fisher, C.M., </w:t>
      </w:r>
      <w:r w:rsidRPr="004B75B8">
        <w:rPr>
          <w:rFonts w:ascii="Arial" w:hAnsi="Arial" w:cs="Arial"/>
          <w:i/>
          <w:sz w:val="24"/>
          <w:szCs w:val="24"/>
        </w:rPr>
        <w:t>Late-life migraine accompaniments as a cause of unexplained transient ischemic attacks.</w:t>
      </w:r>
      <w:r w:rsidRPr="004B75B8">
        <w:rPr>
          <w:rFonts w:ascii="Arial" w:hAnsi="Arial" w:cs="Arial"/>
          <w:sz w:val="24"/>
          <w:szCs w:val="24"/>
        </w:rPr>
        <w:t xml:space="preserve"> Can J Neurol Sci, 1980. </w:t>
      </w:r>
      <w:r w:rsidRPr="004B75B8">
        <w:rPr>
          <w:rFonts w:ascii="Arial" w:hAnsi="Arial" w:cs="Arial"/>
          <w:b/>
          <w:sz w:val="24"/>
          <w:szCs w:val="24"/>
        </w:rPr>
        <w:t>7</w:t>
      </w:r>
      <w:r w:rsidRPr="004B75B8">
        <w:rPr>
          <w:rFonts w:ascii="Arial" w:hAnsi="Arial" w:cs="Arial"/>
          <w:sz w:val="24"/>
          <w:szCs w:val="24"/>
        </w:rPr>
        <w:t>(1): p. 9-17.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w:t>
      </w:r>
      <w:r w:rsidRPr="004B75B8">
        <w:rPr>
          <w:rFonts w:ascii="Arial" w:hAnsi="Arial" w:cs="Arial"/>
          <w:sz w:val="24"/>
          <w:szCs w:val="24"/>
        </w:rPr>
        <w:tab/>
        <w:t xml:space="preserve">Bickerstaff, E.R., </w:t>
      </w:r>
      <w:r w:rsidRPr="004B75B8">
        <w:rPr>
          <w:rFonts w:ascii="Arial" w:hAnsi="Arial" w:cs="Arial"/>
          <w:i/>
          <w:sz w:val="24"/>
          <w:szCs w:val="24"/>
        </w:rPr>
        <w:t>The basilar artery and the migraine-epilepsy syndrome.</w:t>
      </w:r>
      <w:r w:rsidRPr="004B75B8">
        <w:rPr>
          <w:rFonts w:ascii="Arial" w:hAnsi="Arial" w:cs="Arial"/>
          <w:sz w:val="24"/>
          <w:szCs w:val="24"/>
        </w:rPr>
        <w:t xml:space="preserve"> Proc R Soc Med, 1962. </w:t>
      </w:r>
      <w:r w:rsidRPr="004B75B8">
        <w:rPr>
          <w:rFonts w:ascii="Arial" w:hAnsi="Arial" w:cs="Arial"/>
          <w:b/>
          <w:sz w:val="24"/>
          <w:szCs w:val="24"/>
        </w:rPr>
        <w:t>55</w:t>
      </w:r>
      <w:r w:rsidRPr="004B75B8">
        <w:rPr>
          <w:rFonts w:ascii="Arial" w:hAnsi="Arial" w:cs="Arial"/>
          <w:sz w:val="24"/>
          <w:szCs w:val="24"/>
        </w:rPr>
        <w:t>: p. 167-9.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w:t>
      </w:r>
      <w:r w:rsidRPr="004B75B8">
        <w:rPr>
          <w:rFonts w:ascii="Arial" w:hAnsi="Arial" w:cs="Arial"/>
          <w:sz w:val="24"/>
          <w:szCs w:val="24"/>
        </w:rPr>
        <w:tab/>
        <w:t xml:space="preserve">Kirchmann, M., L.L. Thomsen, and J. Olesen, </w:t>
      </w:r>
      <w:r w:rsidRPr="004B75B8">
        <w:rPr>
          <w:rFonts w:ascii="Arial" w:hAnsi="Arial" w:cs="Arial"/>
          <w:i/>
          <w:sz w:val="24"/>
          <w:szCs w:val="24"/>
        </w:rPr>
        <w:t>Basilar-type migraine: clinical, epidemiologic, and genetic features.</w:t>
      </w:r>
      <w:r w:rsidRPr="004B75B8">
        <w:rPr>
          <w:rFonts w:ascii="Arial" w:hAnsi="Arial" w:cs="Arial"/>
          <w:sz w:val="24"/>
          <w:szCs w:val="24"/>
        </w:rPr>
        <w:t xml:space="preserve"> Neurology, 2006. </w:t>
      </w:r>
      <w:r w:rsidRPr="004B75B8">
        <w:rPr>
          <w:rFonts w:ascii="Arial" w:hAnsi="Arial" w:cs="Arial"/>
          <w:b/>
          <w:sz w:val="24"/>
          <w:szCs w:val="24"/>
        </w:rPr>
        <w:t>66</w:t>
      </w:r>
      <w:r w:rsidRPr="004B75B8">
        <w:rPr>
          <w:rFonts w:ascii="Arial" w:hAnsi="Arial" w:cs="Arial"/>
          <w:sz w:val="24"/>
          <w:szCs w:val="24"/>
        </w:rPr>
        <w:t>(6): p. 880-6.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w:t>
      </w:r>
      <w:r w:rsidRPr="004B75B8">
        <w:rPr>
          <w:rFonts w:ascii="Arial" w:hAnsi="Arial" w:cs="Arial"/>
          <w:sz w:val="24"/>
          <w:szCs w:val="24"/>
        </w:rPr>
        <w:tab/>
        <w:t xml:space="preserve">Lapkin, M.L. and G.S. Golden, </w:t>
      </w:r>
      <w:r w:rsidRPr="004B75B8">
        <w:rPr>
          <w:rFonts w:ascii="Arial" w:hAnsi="Arial" w:cs="Arial"/>
          <w:i/>
          <w:sz w:val="24"/>
          <w:szCs w:val="24"/>
        </w:rPr>
        <w:t>Basilar artery migraine. A review of 30 cases.</w:t>
      </w:r>
      <w:r w:rsidRPr="004B75B8">
        <w:rPr>
          <w:rFonts w:ascii="Arial" w:hAnsi="Arial" w:cs="Arial"/>
          <w:sz w:val="24"/>
          <w:szCs w:val="24"/>
        </w:rPr>
        <w:t xml:space="preserve"> Am J Dis Child, 1978. </w:t>
      </w:r>
      <w:r w:rsidRPr="004B75B8">
        <w:rPr>
          <w:rFonts w:ascii="Arial" w:hAnsi="Arial" w:cs="Arial"/>
          <w:b/>
          <w:sz w:val="24"/>
          <w:szCs w:val="24"/>
        </w:rPr>
        <w:t>132</w:t>
      </w:r>
      <w:r w:rsidRPr="004B75B8">
        <w:rPr>
          <w:rFonts w:ascii="Arial" w:hAnsi="Arial" w:cs="Arial"/>
          <w:sz w:val="24"/>
          <w:szCs w:val="24"/>
        </w:rPr>
        <w:t>(3): p. 278-81.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w:t>
      </w:r>
      <w:r w:rsidRPr="004B75B8">
        <w:rPr>
          <w:rFonts w:ascii="Arial" w:hAnsi="Arial" w:cs="Arial"/>
          <w:sz w:val="24"/>
          <w:szCs w:val="24"/>
        </w:rPr>
        <w:tab/>
        <w:t xml:space="preserve">Sturzenegger, M.H. and O. Meienberg, </w:t>
      </w:r>
      <w:r w:rsidRPr="004B75B8">
        <w:rPr>
          <w:rFonts w:ascii="Arial" w:hAnsi="Arial" w:cs="Arial"/>
          <w:i/>
          <w:sz w:val="24"/>
          <w:szCs w:val="24"/>
        </w:rPr>
        <w:t>Basilar artery migraine: a follow-up study of 82 cases.</w:t>
      </w:r>
      <w:r w:rsidRPr="004B75B8">
        <w:rPr>
          <w:rFonts w:ascii="Arial" w:hAnsi="Arial" w:cs="Arial"/>
          <w:sz w:val="24"/>
          <w:szCs w:val="24"/>
        </w:rPr>
        <w:t xml:space="preserve"> Headache, 1985. </w:t>
      </w:r>
      <w:r w:rsidRPr="004B75B8">
        <w:rPr>
          <w:rFonts w:ascii="Arial" w:hAnsi="Arial" w:cs="Arial"/>
          <w:b/>
          <w:sz w:val="24"/>
          <w:szCs w:val="24"/>
        </w:rPr>
        <w:t>25</w:t>
      </w:r>
      <w:r w:rsidRPr="004B75B8">
        <w:rPr>
          <w:rFonts w:ascii="Arial" w:hAnsi="Arial" w:cs="Arial"/>
          <w:sz w:val="24"/>
          <w:szCs w:val="24"/>
        </w:rPr>
        <w:t>(8): p. 408-15.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w:t>
      </w:r>
      <w:r w:rsidRPr="004B75B8">
        <w:rPr>
          <w:rFonts w:ascii="Arial" w:hAnsi="Arial" w:cs="Arial"/>
          <w:sz w:val="24"/>
          <w:szCs w:val="24"/>
        </w:rPr>
        <w:tab/>
        <w:t xml:space="preserve">Bickerstaff, E.R., </w:t>
      </w:r>
      <w:r w:rsidRPr="004B75B8">
        <w:rPr>
          <w:rFonts w:ascii="Arial" w:hAnsi="Arial" w:cs="Arial"/>
          <w:i/>
          <w:sz w:val="24"/>
          <w:szCs w:val="24"/>
        </w:rPr>
        <w:t>Impairment of consciousness in migraine.</w:t>
      </w:r>
      <w:r w:rsidRPr="004B75B8">
        <w:rPr>
          <w:rFonts w:ascii="Arial" w:hAnsi="Arial" w:cs="Arial"/>
          <w:sz w:val="24"/>
          <w:szCs w:val="24"/>
        </w:rPr>
        <w:t xml:space="preserve"> Lancet, 1961. </w:t>
      </w:r>
      <w:r w:rsidRPr="004B75B8">
        <w:rPr>
          <w:rFonts w:ascii="Arial" w:hAnsi="Arial" w:cs="Arial"/>
          <w:b/>
          <w:sz w:val="24"/>
          <w:szCs w:val="24"/>
        </w:rPr>
        <w:t>2</w:t>
      </w:r>
      <w:r w:rsidRPr="004B75B8">
        <w:rPr>
          <w:rFonts w:ascii="Arial" w:hAnsi="Arial" w:cs="Arial"/>
          <w:sz w:val="24"/>
          <w:szCs w:val="24"/>
        </w:rPr>
        <w:t>(7211): p. 1057-9.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33.</w:t>
      </w:r>
      <w:r w:rsidRPr="004B75B8">
        <w:rPr>
          <w:rFonts w:ascii="Arial" w:hAnsi="Arial" w:cs="Arial"/>
          <w:sz w:val="24"/>
          <w:szCs w:val="24"/>
        </w:rPr>
        <w:tab/>
        <w:t xml:space="preserve">Lykke Thomsen, L., et al., </w:t>
      </w:r>
      <w:r w:rsidRPr="004B75B8">
        <w:rPr>
          <w:rFonts w:ascii="Arial" w:hAnsi="Arial" w:cs="Arial"/>
          <w:i/>
          <w:sz w:val="24"/>
          <w:szCs w:val="24"/>
        </w:rPr>
        <w:t>An epidemiological survey of hemiplegic migraine.</w:t>
      </w:r>
      <w:r w:rsidRPr="004B75B8">
        <w:rPr>
          <w:rFonts w:ascii="Arial" w:hAnsi="Arial" w:cs="Arial"/>
          <w:sz w:val="24"/>
          <w:szCs w:val="24"/>
        </w:rPr>
        <w:t xml:space="preserve"> Cephalalgia, 2002. </w:t>
      </w:r>
      <w:r w:rsidRPr="004B75B8">
        <w:rPr>
          <w:rFonts w:ascii="Arial" w:hAnsi="Arial" w:cs="Arial"/>
          <w:b/>
          <w:sz w:val="24"/>
          <w:szCs w:val="24"/>
        </w:rPr>
        <w:t>22</w:t>
      </w:r>
      <w:r w:rsidRPr="004B75B8">
        <w:rPr>
          <w:rFonts w:ascii="Arial" w:hAnsi="Arial" w:cs="Arial"/>
          <w:sz w:val="24"/>
          <w:szCs w:val="24"/>
        </w:rPr>
        <w:t>(5): p. 361-75.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34.</w:t>
      </w:r>
      <w:r w:rsidRPr="004B75B8">
        <w:rPr>
          <w:rFonts w:ascii="Arial" w:hAnsi="Arial" w:cs="Arial"/>
          <w:sz w:val="24"/>
          <w:szCs w:val="24"/>
        </w:rPr>
        <w:tab/>
        <w:t xml:space="preserve">Thomsen, L.L., et al., </w:t>
      </w:r>
      <w:r w:rsidRPr="004B75B8">
        <w:rPr>
          <w:rFonts w:ascii="Arial" w:hAnsi="Arial" w:cs="Arial"/>
          <w:i/>
          <w:sz w:val="24"/>
          <w:szCs w:val="24"/>
        </w:rPr>
        <w:t>A population-based study of familial hemiplegic migraine suggests revised diagnostic criteria.</w:t>
      </w:r>
      <w:r w:rsidRPr="004B75B8">
        <w:rPr>
          <w:rFonts w:ascii="Arial" w:hAnsi="Arial" w:cs="Arial"/>
          <w:sz w:val="24"/>
          <w:szCs w:val="24"/>
        </w:rPr>
        <w:t xml:space="preserve"> Brain, 2002. </w:t>
      </w:r>
      <w:r w:rsidRPr="004B75B8">
        <w:rPr>
          <w:rFonts w:ascii="Arial" w:hAnsi="Arial" w:cs="Arial"/>
          <w:b/>
          <w:sz w:val="24"/>
          <w:szCs w:val="24"/>
        </w:rPr>
        <w:t>125</w:t>
      </w:r>
      <w:r w:rsidRPr="004B75B8">
        <w:rPr>
          <w:rFonts w:ascii="Arial" w:hAnsi="Arial" w:cs="Arial"/>
          <w:sz w:val="24"/>
          <w:szCs w:val="24"/>
        </w:rPr>
        <w:t>(Pt 6): p. 1379-91.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35.</w:t>
      </w:r>
      <w:r w:rsidRPr="004B75B8">
        <w:rPr>
          <w:rFonts w:ascii="Arial" w:hAnsi="Arial" w:cs="Arial"/>
          <w:sz w:val="24"/>
          <w:szCs w:val="24"/>
        </w:rPr>
        <w:tab/>
        <w:t xml:space="preserve">Thomsen, L.L., et al., </w:t>
      </w:r>
      <w:r w:rsidRPr="004B75B8">
        <w:rPr>
          <w:rFonts w:ascii="Arial" w:hAnsi="Arial" w:cs="Arial"/>
          <w:i/>
          <w:sz w:val="24"/>
          <w:szCs w:val="24"/>
        </w:rPr>
        <w:t>Evidence for a separate type of migraine with aura: sporadic hemiplegic migraine.</w:t>
      </w:r>
      <w:r w:rsidRPr="004B75B8">
        <w:rPr>
          <w:rFonts w:ascii="Arial" w:hAnsi="Arial" w:cs="Arial"/>
          <w:sz w:val="24"/>
          <w:szCs w:val="24"/>
        </w:rPr>
        <w:t xml:space="preserve"> Neurology, 2003. </w:t>
      </w:r>
      <w:r w:rsidRPr="004B75B8">
        <w:rPr>
          <w:rFonts w:ascii="Arial" w:hAnsi="Arial" w:cs="Arial"/>
          <w:b/>
          <w:sz w:val="24"/>
          <w:szCs w:val="24"/>
        </w:rPr>
        <w:t>60</w:t>
      </w:r>
      <w:r w:rsidRPr="004B75B8">
        <w:rPr>
          <w:rFonts w:ascii="Arial" w:hAnsi="Arial" w:cs="Arial"/>
          <w:sz w:val="24"/>
          <w:szCs w:val="24"/>
        </w:rPr>
        <w:t>(4): p. 595-601.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36.</w:t>
      </w:r>
      <w:r w:rsidRPr="004B75B8">
        <w:rPr>
          <w:rFonts w:ascii="Arial" w:hAnsi="Arial" w:cs="Arial"/>
          <w:sz w:val="24"/>
          <w:szCs w:val="24"/>
        </w:rPr>
        <w:tab/>
        <w:t xml:space="preserve">Thomsen, L.L. and J. Olesen, </w:t>
      </w:r>
      <w:r w:rsidRPr="004B75B8">
        <w:rPr>
          <w:rFonts w:ascii="Arial" w:hAnsi="Arial" w:cs="Arial"/>
          <w:i/>
          <w:sz w:val="24"/>
          <w:szCs w:val="24"/>
        </w:rPr>
        <w:t>Sporadic hemiplegic migraine.</w:t>
      </w:r>
      <w:r w:rsidRPr="004B75B8">
        <w:rPr>
          <w:rFonts w:ascii="Arial" w:hAnsi="Arial" w:cs="Arial"/>
          <w:sz w:val="24"/>
          <w:szCs w:val="24"/>
        </w:rPr>
        <w:t xml:space="preserve"> Cephalalgia, 2004. </w:t>
      </w:r>
      <w:r w:rsidRPr="004B75B8">
        <w:rPr>
          <w:rFonts w:ascii="Arial" w:hAnsi="Arial" w:cs="Arial"/>
          <w:b/>
          <w:sz w:val="24"/>
          <w:szCs w:val="24"/>
        </w:rPr>
        <w:t>24</w:t>
      </w:r>
      <w:r w:rsidRPr="004B75B8">
        <w:rPr>
          <w:rFonts w:ascii="Arial" w:hAnsi="Arial" w:cs="Arial"/>
          <w:sz w:val="24"/>
          <w:szCs w:val="24"/>
        </w:rPr>
        <w:t>(12): p. 1016-23.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37.</w:t>
      </w:r>
      <w:r w:rsidRPr="004B75B8">
        <w:rPr>
          <w:rFonts w:ascii="Arial" w:hAnsi="Arial" w:cs="Arial"/>
          <w:sz w:val="24"/>
          <w:szCs w:val="24"/>
        </w:rPr>
        <w:tab/>
        <w:t xml:space="preserve">Ducros, A., et al., </w:t>
      </w:r>
      <w:r w:rsidRPr="004B75B8">
        <w:rPr>
          <w:rFonts w:ascii="Arial" w:hAnsi="Arial" w:cs="Arial"/>
          <w:i/>
          <w:sz w:val="24"/>
          <w:szCs w:val="24"/>
        </w:rPr>
        <w:t>The clinical spectrum of familial hemiplegic migraine associated with mutations in a neuronal calcium channel.</w:t>
      </w:r>
      <w:r w:rsidRPr="004B75B8">
        <w:rPr>
          <w:rFonts w:ascii="Arial" w:hAnsi="Arial" w:cs="Arial"/>
          <w:sz w:val="24"/>
          <w:szCs w:val="24"/>
        </w:rPr>
        <w:t xml:space="preserve"> N Engl J Med, 2001. </w:t>
      </w:r>
      <w:r w:rsidRPr="004B75B8">
        <w:rPr>
          <w:rFonts w:ascii="Arial" w:hAnsi="Arial" w:cs="Arial"/>
          <w:b/>
          <w:sz w:val="24"/>
          <w:szCs w:val="24"/>
        </w:rPr>
        <w:t>345</w:t>
      </w:r>
      <w:r w:rsidRPr="004B75B8">
        <w:rPr>
          <w:rFonts w:ascii="Arial" w:hAnsi="Arial" w:cs="Arial"/>
          <w:sz w:val="24"/>
          <w:szCs w:val="24"/>
        </w:rPr>
        <w:t>(1): p. 17-24.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38.</w:t>
      </w:r>
      <w:r w:rsidRPr="004B75B8">
        <w:rPr>
          <w:rFonts w:ascii="Arial" w:hAnsi="Arial" w:cs="Arial"/>
          <w:sz w:val="24"/>
          <w:szCs w:val="24"/>
        </w:rPr>
        <w:tab/>
        <w:t xml:space="preserve">Russell, M.B. and A. Ducros, </w:t>
      </w:r>
      <w:r w:rsidRPr="004B75B8">
        <w:rPr>
          <w:rFonts w:ascii="Arial" w:hAnsi="Arial" w:cs="Arial"/>
          <w:i/>
          <w:sz w:val="24"/>
          <w:szCs w:val="24"/>
        </w:rPr>
        <w:t>Sporadic and familial hemiplegic migraine: pathophysiological mechanisms, clinical characteristics, diagnosis, and management.</w:t>
      </w:r>
      <w:r w:rsidRPr="004B75B8">
        <w:rPr>
          <w:rFonts w:ascii="Arial" w:hAnsi="Arial" w:cs="Arial"/>
          <w:sz w:val="24"/>
          <w:szCs w:val="24"/>
        </w:rPr>
        <w:t xml:space="preserve"> Lancet Neurol, 2011. </w:t>
      </w:r>
      <w:r w:rsidRPr="004B75B8">
        <w:rPr>
          <w:rFonts w:ascii="Arial" w:hAnsi="Arial" w:cs="Arial"/>
          <w:b/>
          <w:sz w:val="24"/>
          <w:szCs w:val="24"/>
        </w:rPr>
        <w:t>10</w:t>
      </w:r>
      <w:r w:rsidRPr="004B75B8">
        <w:rPr>
          <w:rFonts w:ascii="Arial" w:hAnsi="Arial" w:cs="Arial"/>
          <w:sz w:val="24"/>
          <w:szCs w:val="24"/>
        </w:rPr>
        <w:t>(5): p. 457-70.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39.</w:t>
      </w:r>
      <w:r w:rsidRPr="004B75B8">
        <w:rPr>
          <w:rFonts w:ascii="Arial" w:hAnsi="Arial" w:cs="Arial"/>
          <w:sz w:val="24"/>
          <w:szCs w:val="24"/>
        </w:rPr>
        <w:tab/>
        <w:t xml:space="preserve">Terwindt, G., et al., </w:t>
      </w:r>
      <w:r w:rsidRPr="004B75B8">
        <w:rPr>
          <w:rFonts w:ascii="Arial" w:hAnsi="Arial" w:cs="Arial"/>
          <w:i/>
          <w:sz w:val="24"/>
          <w:szCs w:val="24"/>
        </w:rPr>
        <w:t>Mutation analysis of the CACNA1A calcium channel subunit gene in 27 patients with sporadic hemiplegic migraine.</w:t>
      </w:r>
      <w:r w:rsidRPr="004B75B8">
        <w:rPr>
          <w:rFonts w:ascii="Arial" w:hAnsi="Arial" w:cs="Arial"/>
          <w:sz w:val="24"/>
          <w:szCs w:val="24"/>
        </w:rPr>
        <w:t xml:space="preserve"> Arch Neurol, 2002. </w:t>
      </w:r>
      <w:r w:rsidRPr="004B75B8">
        <w:rPr>
          <w:rFonts w:ascii="Arial" w:hAnsi="Arial" w:cs="Arial"/>
          <w:b/>
          <w:sz w:val="24"/>
          <w:szCs w:val="24"/>
        </w:rPr>
        <w:t>59</w:t>
      </w:r>
      <w:r w:rsidRPr="004B75B8">
        <w:rPr>
          <w:rFonts w:ascii="Arial" w:hAnsi="Arial" w:cs="Arial"/>
          <w:sz w:val="24"/>
          <w:szCs w:val="24"/>
        </w:rPr>
        <w:t>(6): p. 1016-8.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40.</w:t>
      </w:r>
      <w:r w:rsidRPr="004B75B8">
        <w:rPr>
          <w:rFonts w:ascii="Arial" w:hAnsi="Arial" w:cs="Arial"/>
          <w:sz w:val="24"/>
          <w:szCs w:val="24"/>
        </w:rPr>
        <w:tab/>
        <w:t xml:space="preserve">Bradshaw, P. and M. Parsons, </w:t>
      </w:r>
      <w:r w:rsidRPr="004B75B8">
        <w:rPr>
          <w:rFonts w:ascii="Arial" w:hAnsi="Arial" w:cs="Arial"/>
          <w:i/>
          <w:sz w:val="24"/>
          <w:szCs w:val="24"/>
        </w:rPr>
        <w:t>Hemiplegic Migraine, a Clinical Study.</w:t>
      </w:r>
      <w:r w:rsidRPr="004B75B8">
        <w:rPr>
          <w:rFonts w:ascii="Arial" w:hAnsi="Arial" w:cs="Arial"/>
          <w:sz w:val="24"/>
          <w:szCs w:val="24"/>
        </w:rPr>
        <w:t xml:space="preserve"> Q J Med, 1965. </w:t>
      </w:r>
      <w:r w:rsidRPr="004B75B8">
        <w:rPr>
          <w:rFonts w:ascii="Arial" w:hAnsi="Arial" w:cs="Arial"/>
          <w:b/>
          <w:sz w:val="24"/>
          <w:szCs w:val="24"/>
        </w:rPr>
        <w:t>34</w:t>
      </w:r>
      <w:r w:rsidRPr="004B75B8">
        <w:rPr>
          <w:rFonts w:ascii="Arial" w:hAnsi="Arial" w:cs="Arial"/>
          <w:sz w:val="24"/>
          <w:szCs w:val="24"/>
        </w:rPr>
        <w:t>: p. 65-85.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41.</w:t>
      </w:r>
      <w:r w:rsidRPr="004B75B8">
        <w:rPr>
          <w:rFonts w:ascii="Arial" w:hAnsi="Arial" w:cs="Arial"/>
          <w:sz w:val="24"/>
          <w:szCs w:val="24"/>
        </w:rPr>
        <w:tab/>
        <w:t xml:space="preserve">Neuhauser, H.K., et al., </w:t>
      </w:r>
      <w:r w:rsidRPr="004B75B8">
        <w:rPr>
          <w:rFonts w:ascii="Arial" w:hAnsi="Arial" w:cs="Arial"/>
          <w:i/>
          <w:sz w:val="24"/>
          <w:szCs w:val="24"/>
        </w:rPr>
        <w:t>Migrainous vertigo: prevalence and impact on quality of life.</w:t>
      </w:r>
      <w:r w:rsidRPr="004B75B8">
        <w:rPr>
          <w:rFonts w:ascii="Arial" w:hAnsi="Arial" w:cs="Arial"/>
          <w:sz w:val="24"/>
          <w:szCs w:val="24"/>
        </w:rPr>
        <w:t xml:space="preserve"> Neurology, 2006. </w:t>
      </w:r>
      <w:r w:rsidRPr="004B75B8">
        <w:rPr>
          <w:rFonts w:ascii="Arial" w:hAnsi="Arial" w:cs="Arial"/>
          <w:b/>
          <w:sz w:val="24"/>
          <w:szCs w:val="24"/>
        </w:rPr>
        <w:t>67</w:t>
      </w:r>
      <w:r w:rsidRPr="004B75B8">
        <w:rPr>
          <w:rFonts w:ascii="Arial" w:hAnsi="Arial" w:cs="Arial"/>
          <w:sz w:val="24"/>
          <w:szCs w:val="24"/>
        </w:rPr>
        <w:t>(6): p. 1028-33.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42.</w:t>
      </w:r>
      <w:r w:rsidRPr="004B75B8">
        <w:rPr>
          <w:rFonts w:ascii="Arial" w:hAnsi="Arial" w:cs="Arial"/>
          <w:sz w:val="24"/>
          <w:szCs w:val="24"/>
        </w:rPr>
        <w:tab/>
        <w:t xml:space="preserve">Cutrer, F.M. and R.W. Baloh, </w:t>
      </w:r>
      <w:r w:rsidRPr="004B75B8">
        <w:rPr>
          <w:rFonts w:ascii="Arial" w:hAnsi="Arial" w:cs="Arial"/>
          <w:i/>
          <w:sz w:val="24"/>
          <w:szCs w:val="24"/>
        </w:rPr>
        <w:t>Migraine-associated dizziness.</w:t>
      </w:r>
      <w:r w:rsidRPr="004B75B8">
        <w:rPr>
          <w:rFonts w:ascii="Arial" w:hAnsi="Arial" w:cs="Arial"/>
          <w:sz w:val="24"/>
          <w:szCs w:val="24"/>
        </w:rPr>
        <w:t xml:space="preserve"> Headache, 1992. </w:t>
      </w:r>
      <w:r w:rsidRPr="004B75B8">
        <w:rPr>
          <w:rFonts w:ascii="Arial" w:hAnsi="Arial" w:cs="Arial"/>
          <w:b/>
          <w:sz w:val="24"/>
          <w:szCs w:val="24"/>
        </w:rPr>
        <w:t>32</w:t>
      </w:r>
      <w:r w:rsidRPr="004B75B8">
        <w:rPr>
          <w:rFonts w:ascii="Arial" w:hAnsi="Arial" w:cs="Arial"/>
          <w:sz w:val="24"/>
          <w:szCs w:val="24"/>
        </w:rPr>
        <w:t>(6): p. 300-4.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43.</w:t>
      </w:r>
      <w:r w:rsidRPr="004B75B8">
        <w:rPr>
          <w:rFonts w:ascii="Arial" w:hAnsi="Arial" w:cs="Arial"/>
          <w:sz w:val="24"/>
          <w:szCs w:val="24"/>
        </w:rPr>
        <w:tab/>
        <w:t xml:space="preserve">Dieterich, M. and T. Brandt, </w:t>
      </w:r>
      <w:r w:rsidRPr="004B75B8">
        <w:rPr>
          <w:rFonts w:ascii="Arial" w:hAnsi="Arial" w:cs="Arial"/>
          <w:i/>
          <w:sz w:val="24"/>
          <w:szCs w:val="24"/>
        </w:rPr>
        <w:t>Episodic vertigo related to migraine (90 cases): vestibular migraine?</w:t>
      </w:r>
      <w:r w:rsidRPr="004B75B8">
        <w:rPr>
          <w:rFonts w:ascii="Arial" w:hAnsi="Arial" w:cs="Arial"/>
          <w:sz w:val="24"/>
          <w:szCs w:val="24"/>
        </w:rPr>
        <w:t xml:space="preserve"> J Neurol, 1999. </w:t>
      </w:r>
      <w:r w:rsidRPr="004B75B8">
        <w:rPr>
          <w:rFonts w:ascii="Arial" w:hAnsi="Arial" w:cs="Arial"/>
          <w:b/>
          <w:sz w:val="24"/>
          <w:szCs w:val="24"/>
        </w:rPr>
        <w:t>246</w:t>
      </w:r>
      <w:r w:rsidRPr="004B75B8">
        <w:rPr>
          <w:rFonts w:ascii="Arial" w:hAnsi="Arial" w:cs="Arial"/>
          <w:sz w:val="24"/>
          <w:szCs w:val="24"/>
        </w:rPr>
        <w:t>(10): p. 883-92.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44.</w:t>
      </w:r>
      <w:r w:rsidRPr="004B75B8">
        <w:rPr>
          <w:rFonts w:ascii="Arial" w:hAnsi="Arial" w:cs="Arial"/>
          <w:sz w:val="24"/>
          <w:szCs w:val="24"/>
        </w:rPr>
        <w:tab/>
        <w:t xml:space="preserve">Johnson, G.D., </w:t>
      </w:r>
      <w:r w:rsidRPr="004B75B8">
        <w:rPr>
          <w:rFonts w:ascii="Arial" w:hAnsi="Arial" w:cs="Arial"/>
          <w:i/>
          <w:sz w:val="24"/>
          <w:szCs w:val="24"/>
        </w:rPr>
        <w:t>Medical management of migraine-related dizziness and vertigo.</w:t>
      </w:r>
      <w:r w:rsidRPr="004B75B8">
        <w:rPr>
          <w:rFonts w:ascii="Arial" w:hAnsi="Arial" w:cs="Arial"/>
          <w:sz w:val="24"/>
          <w:szCs w:val="24"/>
        </w:rPr>
        <w:t xml:space="preserve"> Laryngoscope, 1998. </w:t>
      </w:r>
      <w:r w:rsidRPr="004B75B8">
        <w:rPr>
          <w:rFonts w:ascii="Arial" w:hAnsi="Arial" w:cs="Arial"/>
          <w:b/>
          <w:sz w:val="24"/>
          <w:szCs w:val="24"/>
        </w:rPr>
        <w:t>108</w:t>
      </w:r>
      <w:r w:rsidRPr="004B75B8">
        <w:rPr>
          <w:rFonts w:ascii="Arial" w:hAnsi="Arial" w:cs="Arial"/>
          <w:sz w:val="24"/>
          <w:szCs w:val="24"/>
        </w:rPr>
        <w:t>(1 Pt 2): p. 1-28.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45.</w:t>
      </w:r>
      <w:r w:rsidRPr="004B75B8">
        <w:rPr>
          <w:rFonts w:ascii="Arial" w:hAnsi="Arial" w:cs="Arial"/>
          <w:sz w:val="24"/>
          <w:szCs w:val="24"/>
        </w:rPr>
        <w:tab/>
        <w:t xml:space="preserve">Neuhauser, H., et al., </w:t>
      </w:r>
      <w:r w:rsidRPr="004B75B8">
        <w:rPr>
          <w:rFonts w:ascii="Arial" w:hAnsi="Arial" w:cs="Arial"/>
          <w:i/>
          <w:sz w:val="24"/>
          <w:szCs w:val="24"/>
        </w:rPr>
        <w:t>The interrelations of migraine, vertigo, and migrainous vertigo.</w:t>
      </w:r>
      <w:r w:rsidRPr="004B75B8">
        <w:rPr>
          <w:rFonts w:ascii="Arial" w:hAnsi="Arial" w:cs="Arial"/>
          <w:sz w:val="24"/>
          <w:szCs w:val="24"/>
        </w:rPr>
        <w:t xml:space="preserve"> Neurology, 2001. </w:t>
      </w:r>
      <w:r w:rsidRPr="004B75B8">
        <w:rPr>
          <w:rFonts w:ascii="Arial" w:hAnsi="Arial" w:cs="Arial"/>
          <w:b/>
          <w:sz w:val="24"/>
          <w:szCs w:val="24"/>
        </w:rPr>
        <w:t>56</w:t>
      </w:r>
      <w:r w:rsidRPr="004B75B8">
        <w:rPr>
          <w:rFonts w:ascii="Arial" w:hAnsi="Arial" w:cs="Arial"/>
          <w:sz w:val="24"/>
          <w:szCs w:val="24"/>
        </w:rPr>
        <w:t>(4): p. 436-41.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46.</w:t>
      </w:r>
      <w:r w:rsidRPr="004B75B8">
        <w:rPr>
          <w:rFonts w:ascii="Arial" w:hAnsi="Arial" w:cs="Arial"/>
          <w:sz w:val="24"/>
          <w:szCs w:val="24"/>
        </w:rPr>
        <w:tab/>
        <w:t xml:space="preserve">Reploeg, M.D. and J.A. Goebel, </w:t>
      </w:r>
      <w:r w:rsidRPr="004B75B8">
        <w:rPr>
          <w:rFonts w:ascii="Arial" w:hAnsi="Arial" w:cs="Arial"/>
          <w:i/>
          <w:sz w:val="24"/>
          <w:szCs w:val="24"/>
        </w:rPr>
        <w:t>Migraine-associated dizziness: patient characteristics and management options.</w:t>
      </w:r>
      <w:r w:rsidRPr="004B75B8">
        <w:rPr>
          <w:rFonts w:ascii="Arial" w:hAnsi="Arial" w:cs="Arial"/>
          <w:sz w:val="24"/>
          <w:szCs w:val="24"/>
        </w:rPr>
        <w:t xml:space="preserve"> Otol Neurotol, 2002. </w:t>
      </w:r>
      <w:r w:rsidRPr="004B75B8">
        <w:rPr>
          <w:rFonts w:ascii="Arial" w:hAnsi="Arial" w:cs="Arial"/>
          <w:b/>
          <w:sz w:val="24"/>
          <w:szCs w:val="24"/>
        </w:rPr>
        <w:t>23</w:t>
      </w:r>
      <w:r w:rsidRPr="004B75B8">
        <w:rPr>
          <w:rFonts w:ascii="Arial" w:hAnsi="Arial" w:cs="Arial"/>
          <w:sz w:val="24"/>
          <w:szCs w:val="24"/>
        </w:rPr>
        <w:t>(3): p. 364-71.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47.</w:t>
      </w:r>
      <w:r w:rsidRPr="004B75B8">
        <w:rPr>
          <w:rFonts w:ascii="Arial" w:hAnsi="Arial" w:cs="Arial"/>
          <w:sz w:val="24"/>
          <w:szCs w:val="24"/>
        </w:rPr>
        <w:tab/>
        <w:t xml:space="preserve">Radtke, A., et al., </w:t>
      </w:r>
      <w:r w:rsidRPr="004B75B8">
        <w:rPr>
          <w:rFonts w:ascii="Arial" w:hAnsi="Arial" w:cs="Arial"/>
          <w:i/>
          <w:sz w:val="24"/>
          <w:szCs w:val="24"/>
        </w:rPr>
        <w:t>Vestibular migraine--validity of clinical diagnostic criteria.</w:t>
      </w:r>
      <w:r w:rsidRPr="004B75B8">
        <w:rPr>
          <w:rFonts w:ascii="Arial" w:hAnsi="Arial" w:cs="Arial"/>
          <w:sz w:val="24"/>
          <w:szCs w:val="24"/>
        </w:rPr>
        <w:t xml:space="preserve"> Cephalalgia, 2011. </w:t>
      </w:r>
      <w:r w:rsidRPr="004B75B8">
        <w:rPr>
          <w:rFonts w:ascii="Arial" w:hAnsi="Arial" w:cs="Arial"/>
          <w:b/>
          <w:sz w:val="24"/>
          <w:szCs w:val="24"/>
        </w:rPr>
        <w:t>31</w:t>
      </w:r>
      <w:r w:rsidRPr="004B75B8">
        <w:rPr>
          <w:rFonts w:ascii="Arial" w:hAnsi="Arial" w:cs="Arial"/>
          <w:sz w:val="24"/>
          <w:szCs w:val="24"/>
        </w:rPr>
        <w:t>(8): p. 906-13.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48.</w:t>
      </w:r>
      <w:r w:rsidRPr="004B75B8">
        <w:rPr>
          <w:rFonts w:ascii="Arial" w:hAnsi="Arial" w:cs="Arial"/>
          <w:sz w:val="24"/>
          <w:szCs w:val="24"/>
        </w:rPr>
        <w:tab/>
        <w:t xml:space="preserve">Hochman, M.S., </w:t>
      </w:r>
      <w:r w:rsidRPr="004B75B8">
        <w:rPr>
          <w:rFonts w:ascii="Arial" w:hAnsi="Arial" w:cs="Arial"/>
          <w:i/>
          <w:sz w:val="24"/>
          <w:szCs w:val="24"/>
        </w:rPr>
        <w:t>The interrelations of migraine, vertigo, and migrainous vertigo.</w:t>
      </w:r>
      <w:r w:rsidRPr="004B75B8">
        <w:rPr>
          <w:rFonts w:ascii="Arial" w:hAnsi="Arial" w:cs="Arial"/>
          <w:sz w:val="24"/>
          <w:szCs w:val="24"/>
        </w:rPr>
        <w:t xml:space="preserve"> Neurology, 2001. </w:t>
      </w:r>
      <w:r w:rsidRPr="004B75B8">
        <w:rPr>
          <w:rFonts w:ascii="Arial" w:hAnsi="Arial" w:cs="Arial"/>
          <w:b/>
          <w:sz w:val="24"/>
          <w:szCs w:val="24"/>
        </w:rPr>
        <w:t>57</w:t>
      </w:r>
      <w:r w:rsidRPr="004B75B8">
        <w:rPr>
          <w:rFonts w:ascii="Arial" w:hAnsi="Arial" w:cs="Arial"/>
          <w:sz w:val="24"/>
          <w:szCs w:val="24"/>
        </w:rPr>
        <w:t>(8): p. 1522.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49.</w:t>
      </w:r>
      <w:r w:rsidRPr="004B75B8">
        <w:rPr>
          <w:rFonts w:ascii="Arial" w:hAnsi="Arial" w:cs="Arial"/>
          <w:sz w:val="24"/>
          <w:szCs w:val="24"/>
        </w:rPr>
        <w:tab/>
        <w:t xml:space="preserve">Cutrer, F.M., </w:t>
      </w:r>
      <w:r w:rsidRPr="004B75B8">
        <w:rPr>
          <w:rFonts w:ascii="Arial" w:hAnsi="Arial" w:cs="Arial"/>
          <w:i/>
          <w:sz w:val="24"/>
          <w:szCs w:val="24"/>
        </w:rPr>
        <w:t>Pathophysiology of migraine.</w:t>
      </w:r>
      <w:r w:rsidRPr="004B75B8">
        <w:rPr>
          <w:rFonts w:ascii="Arial" w:hAnsi="Arial" w:cs="Arial"/>
          <w:sz w:val="24"/>
          <w:szCs w:val="24"/>
        </w:rPr>
        <w:t xml:space="preserve"> Semin Neurol, 2006. </w:t>
      </w:r>
      <w:r w:rsidRPr="004B75B8">
        <w:rPr>
          <w:rFonts w:ascii="Arial" w:hAnsi="Arial" w:cs="Arial"/>
          <w:b/>
          <w:sz w:val="24"/>
          <w:szCs w:val="24"/>
        </w:rPr>
        <w:t>26</w:t>
      </w:r>
      <w:r w:rsidRPr="004B75B8">
        <w:rPr>
          <w:rFonts w:ascii="Arial" w:hAnsi="Arial" w:cs="Arial"/>
          <w:sz w:val="24"/>
          <w:szCs w:val="24"/>
        </w:rPr>
        <w:t>(2): p. 171-80.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50.</w:t>
      </w:r>
      <w:r w:rsidRPr="004B75B8">
        <w:rPr>
          <w:rFonts w:ascii="Arial" w:hAnsi="Arial" w:cs="Arial"/>
          <w:sz w:val="24"/>
          <w:szCs w:val="24"/>
        </w:rPr>
        <w:tab/>
        <w:t xml:space="preserve">Amin, F.M., et al., </w:t>
      </w:r>
      <w:r w:rsidRPr="004B75B8">
        <w:rPr>
          <w:rFonts w:ascii="Arial" w:hAnsi="Arial" w:cs="Arial"/>
          <w:i/>
          <w:sz w:val="24"/>
          <w:szCs w:val="24"/>
        </w:rPr>
        <w:t>Magnetic resonance angiography of intracranial and extracranial arteries in patients with spontaneous migraine without aura: a cross-sectional study.</w:t>
      </w:r>
      <w:r w:rsidRPr="004B75B8">
        <w:rPr>
          <w:rFonts w:ascii="Arial" w:hAnsi="Arial" w:cs="Arial"/>
          <w:sz w:val="24"/>
          <w:szCs w:val="24"/>
        </w:rPr>
        <w:t xml:space="preserve"> Lancet Neurol, 2013. </w:t>
      </w:r>
      <w:r w:rsidRPr="004B75B8">
        <w:rPr>
          <w:rFonts w:ascii="Arial" w:hAnsi="Arial" w:cs="Arial"/>
          <w:b/>
          <w:sz w:val="24"/>
          <w:szCs w:val="24"/>
        </w:rPr>
        <w:t>12</w:t>
      </w:r>
      <w:r w:rsidRPr="004B75B8">
        <w:rPr>
          <w:rFonts w:ascii="Arial" w:hAnsi="Arial" w:cs="Arial"/>
          <w:sz w:val="24"/>
          <w:szCs w:val="24"/>
        </w:rPr>
        <w:t>(5): p. 454-61.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51.</w:t>
      </w:r>
      <w:r w:rsidRPr="004B75B8">
        <w:rPr>
          <w:rFonts w:ascii="Arial" w:hAnsi="Arial" w:cs="Arial"/>
          <w:sz w:val="24"/>
          <w:szCs w:val="24"/>
        </w:rPr>
        <w:tab/>
        <w:t xml:space="preserve">Charles, A., </w:t>
      </w:r>
      <w:r w:rsidRPr="004B75B8">
        <w:rPr>
          <w:rFonts w:ascii="Arial" w:hAnsi="Arial" w:cs="Arial"/>
          <w:i/>
          <w:sz w:val="24"/>
          <w:szCs w:val="24"/>
        </w:rPr>
        <w:t>Vasodilation out of the picture as a cause of migraine headache.</w:t>
      </w:r>
      <w:r w:rsidRPr="004B75B8">
        <w:rPr>
          <w:rFonts w:ascii="Arial" w:hAnsi="Arial" w:cs="Arial"/>
          <w:sz w:val="24"/>
          <w:szCs w:val="24"/>
        </w:rPr>
        <w:t xml:space="preserve"> Lancet Neurol, 2013. </w:t>
      </w:r>
      <w:r w:rsidRPr="004B75B8">
        <w:rPr>
          <w:rFonts w:ascii="Arial" w:hAnsi="Arial" w:cs="Arial"/>
          <w:b/>
          <w:sz w:val="24"/>
          <w:szCs w:val="24"/>
        </w:rPr>
        <w:t>12</w:t>
      </w:r>
      <w:r w:rsidRPr="004B75B8">
        <w:rPr>
          <w:rFonts w:ascii="Arial" w:hAnsi="Arial" w:cs="Arial"/>
          <w:sz w:val="24"/>
          <w:szCs w:val="24"/>
        </w:rPr>
        <w:t>(5): p. 419-20.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52.</w:t>
      </w:r>
      <w:r w:rsidRPr="004B75B8">
        <w:rPr>
          <w:rFonts w:ascii="Arial" w:hAnsi="Arial" w:cs="Arial"/>
          <w:sz w:val="24"/>
          <w:szCs w:val="24"/>
        </w:rPr>
        <w:tab/>
        <w:t xml:space="preserve">Akerman, S. and P.J. Goadsby, </w:t>
      </w:r>
      <w:r w:rsidRPr="004B75B8">
        <w:rPr>
          <w:rFonts w:ascii="Arial" w:hAnsi="Arial" w:cs="Arial"/>
          <w:i/>
          <w:sz w:val="24"/>
          <w:szCs w:val="24"/>
        </w:rPr>
        <w:t>Dopamine and migraine: biology and clinical implications.</w:t>
      </w:r>
      <w:r w:rsidRPr="004B75B8">
        <w:rPr>
          <w:rFonts w:ascii="Arial" w:hAnsi="Arial" w:cs="Arial"/>
          <w:sz w:val="24"/>
          <w:szCs w:val="24"/>
        </w:rPr>
        <w:t xml:space="preserve"> Cephalalgia, 2007. </w:t>
      </w:r>
      <w:r w:rsidRPr="004B75B8">
        <w:rPr>
          <w:rFonts w:ascii="Arial" w:hAnsi="Arial" w:cs="Arial"/>
          <w:b/>
          <w:sz w:val="24"/>
          <w:szCs w:val="24"/>
        </w:rPr>
        <w:t>27</w:t>
      </w:r>
      <w:r w:rsidRPr="004B75B8">
        <w:rPr>
          <w:rFonts w:ascii="Arial" w:hAnsi="Arial" w:cs="Arial"/>
          <w:sz w:val="24"/>
          <w:szCs w:val="24"/>
        </w:rPr>
        <w:t>(11): p. 1308-14.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53.</w:t>
      </w:r>
      <w:r w:rsidRPr="004B75B8">
        <w:rPr>
          <w:rFonts w:ascii="Arial" w:hAnsi="Arial" w:cs="Arial"/>
          <w:sz w:val="24"/>
          <w:szCs w:val="24"/>
        </w:rPr>
        <w:tab/>
        <w:t xml:space="preserve">Cerbo, R., et al., </w:t>
      </w:r>
      <w:r w:rsidRPr="004B75B8">
        <w:rPr>
          <w:rFonts w:ascii="Arial" w:hAnsi="Arial" w:cs="Arial"/>
          <w:i/>
          <w:sz w:val="24"/>
          <w:szCs w:val="24"/>
        </w:rPr>
        <w:t>Dopamine hypersensitivity in migraine: role of the apomorphine test.</w:t>
      </w:r>
      <w:r w:rsidRPr="004B75B8">
        <w:rPr>
          <w:rFonts w:ascii="Arial" w:hAnsi="Arial" w:cs="Arial"/>
          <w:sz w:val="24"/>
          <w:szCs w:val="24"/>
        </w:rPr>
        <w:t xml:space="preserve"> Clin Neuropharmacol, 1997. </w:t>
      </w:r>
      <w:r w:rsidRPr="004B75B8">
        <w:rPr>
          <w:rFonts w:ascii="Arial" w:hAnsi="Arial" w:cs="Arial"/>
          <w:b/>
          <w:sz w:val="24"/>
          <w:szCs w:val="24"/>
        </w:rPr>
        <w:t>20</w:t>
      </w:r>
      <w:r w:rsidRPr="004B75B8">
        <w:rPr>
          <w:rFonts w:ascii="Arial" w:hAnsi="Arial" w:cs="Arial"/>
          <w:sz w:val="24"/>
          <w:szCs w:val="24"/>
        </w:rPr>
        <w:t>(1): p. 36-41.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54.</w:t>
      </w:r>
      <w:r w:rsidRPr="004B75B8">
        <w:rPr>
          <w:rFonts w:ascii="Arial" w:hAnsi="Arial" w:cs="Arial"/>
          <w:sz w:val="24"/>
          <w:szCs w:val="24"/>
        </w:rPr>
        <w:tab/>
        <w:t xml:space="preserve">Fanciullacci, M., M. Alessandri, and A. Del Rosso, </w:t>
      </w:r>
      <w:r w:rsidRPr="004B75B8">
        <w:rPr>
          <w:rFonts w:ascii="Arial" w:hAnsi="Arial" w:cs="Arial"/>
          <w:i/>
          <w:sz w:val="24"/>
          <w:szCs w:val="24"/>
        </w:rPr>
        <w:t>Dopamine involvement in the migraine attack.</w:t>
      </w:r>
      <w:r w:rsidRPr="004B75B8">
        <w:rPr>
          <w:rFonts w:ascii="Arial" w:hAnsi="Arial" w:cs="Arial"/>
          <w:sz w:val="24"/>
          <w:szCs w:val="24"/>
        </w:rPr>
        <w:t xml:space="preserve"> Funct Neurol, 2000. </w:t>
      </w:r>
      <w:r w:rsidRPr="004B75B8">
        <w:rPr>
          <w:rFonts w:ascii="Arial" w:hAnsi="Arial" w:cs="Arial"/>
          <w:b/>
          <w:sz w:val="24"/>
          <w:szCs w:val="24"/>
        </w:rPr>
        <w:t>15 Suppl 3</w:t>
      </w:r>
      <w:r w:rsidRPr="004B75B8">
        <w:rPr>
          <w:rFonts w:ascii="Arial" w:hAnsi="Arial" w:cs="Arial"/>
          <w:sz w:val="24"/>
          <w:szCs w:val="24"/>
        </w:rPr>
        <w:t>: p. 171-81.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55.</w:t>
      </w:r>
      <w:r w:rsidRPr="004B75B8">
        <w:rPr>
          <w:rFonts w:ascii="Arial" w:hAnsi="Arial" w:cs="Arial"/>
          <w:sz w:val="24"/>
          <w:szCs w:val="24"/>
        </w:rPr>
        <w:tab/>
        <w:t xml:space="preserve">Peroutka, S.J., </w:t>
      </w:r>
      <w:r w:rsidRPr="004B75B8">
        <w:rPr>
          <w:rFonts w:ascii="Arial" w:hAnsi="Arial" w:cs="Arial"/>
          <w:i/>
          <w:sz w:val="24"/>
          <w:szCs w:val="24"/>
        </w:rPr>
        <w:t>Dopamine and migraine.</w:t>
      </w:r>
      <w:r w:rsidRPr="004B75B8">
        <w:rPr>
          <w:rFonts w:ascii="Arial" w:hAnsi="Arial" w:cs="Arial"/>
          <w:sz w:val="24"/>
          <w:szCs w:val="24"/>
        </w:rPr>
        <w:t xml:space="preserve"> Neurology, 1997. </w:t>
      </w:r>
      <w:r w:rsidRPr="004B75B8">
        <w:rPr>
          <w:rFonts w:ascii="Arial" w:hAnsi="Arial" w:cs="Arial"/>
          <w:b/>
          <w:sz w:val="24"/>
          <w:szCs w:val="24"/>
        </w:rPr>
        <w:t>49</w:t>
      </w:r>
      <w:r w:rsidRPr="004B75B8">
        <w:rPr>
          <w:rFonts w:ascii="Arial" w:hAnsi="Arial" w:cs="Arial"/>
          <w:sz w:val="24"/>
          <w:szCs w:val="24"/>
        </w:rPr>
        <w:t>(3): p. 650-6.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56.</w:t>
      </w:r>
      <w:r w:rsidRPr="004B75B8">
        <w:rPr>
          <w:rFonts w:ascii="Arial" w:hAnsi="Arial" w:cs="Arial"/>
          <w:sz w:val="24"/>
          <w:szCs w:val="24"/>
        </w:rPr>
        <w:tab/>
        <w:t xml:space="preserve">Blin, O., et al., </w:t>
      </w:r>
      <w:r w:rsidRPr="004B75B8">
        <w:rPr>
          <w:rFonts w:ascii="Arial" w:hAnsi="Arial" w:cs="Arial"/>
          <w:i/>
          <w:sz w:val="24"/>
          <w:szCs w:val="24"/>
        </w:rPr>
        <w:t>Apomorphine-induced yawning in migraine patients: enhanced responsiveness.</w:t>
      </w:r>
      <w:r w:rsidRPr="004B75B8">
        <w:rPr>
          <w:rFonts w:ascii="Arial" w:hAnsi="Arial" w:cs="Arial"/>
          <w:sz w:val="24"/>
          <w:szCs w:val="24"/>
        </w:rPr>
        <w:t xml:space="preserve"> Clin Neuropharmacol, 1991. </w:t>
      </w:r>
      <w:r w:rsidRPr="004B75B8">
        <w:rPr>
          <w:rFonts w:ascii="Arial" w:hAnsi="Arial" w:cs="Arial"/>
          <w:b/>
          <w:sz w:val="24"/>
          <w:szCs w:val="24"/>
        </w:rPr>
        <w:t>14</w:t>
      </w:r>
      <w:r w:rsidRPr="004B75B8">
        <w:rPr>
          <w:rFonts w:ascii="Arial" w:hAnsi="Arial" w:cs="Arial"/>
          <w:sz w:val="24"/>
          <w:szCs w:val="24"/>
        </w:rPr>
        <w:t>(1): p. 91-5.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57.</w:t>
      </w:r>
      <w:r w:rsidRPr="004B75B8">
        <w:rPr>
          <w:rFonts w:ascii="Arial" w:hAnsi="Arial" w:cs="Arial"/>
          <w:sz w:val="24"/>
          <w:szCs w:val="24"/>
        </w:rPr>
        <w:tab/>
        <w:t xml:space="preserve">Cupini, L.M., et al., </w:t>
      </w:r>
      <w:r w:rsidRPr="004B75B8">
        <w:rPr>
          <w:rFonts w:ascii="Arial" w:hAnsi="Arial" w:cs="Arial"/>
          <w:i/>
          <w:sz w:val="24"/>
          <w:szCs w:val="24"/>
        </w:rPr>
        <w:t>Prolactin response to bromocriptine in flunarizine-treated migrainous women.</w:t>
      </w:r>
      <w:r w:rsidRPr="004B75B8">
        <w:rPr>
          <w:rFonts w:ascii="Arial" w:hAnsi="Arial" w:cs="Arial"/>
          <w:sz w:val="24"/>
          <w:szCs w:val="24"/>
        </w:rPr>
        <w:t xml:space="preserve"> Clin Neuropharmacol, 1997. </w:t>
      </w:r>
      <w:r w:rsidRPr="004B75B8">
        <w:rPr>
          <w:rFonts w:ascii="Arial" w:hAnsi="Arial" w:cs="Arial"/>
          <w:b/>
          <w:sz w:val="24"/>
          <w:szCs w:val="24"/>
        </w:rPr>
        <w:t>20</w:t>
      </w:r>
      <w:r w:rsidRPr="004B75B8">
        <w:rPr>
          <w:rFonts w:ascii="Arial" w:hAnsi="Arial" w:cs="Arial"/>
          <w:sz w:val="24"/>
          <w:szCs w:val="24"/>
        </w:rPr>
        <w:t>(3): p. 234-8.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58.</w:t>
      </w:r>
      <w:r w:rsidRPr="004B75B8">
        <w:rPr>
          <w:rFonts w:ascii="Arial" w:hAnsi="Arial" w:cs="Arial"/>
          <w:sz w:val="24"/>
          <w:szCs w:val="24"/>
        </w:rPr>
        <w:tab/>
        <w:t xml:space="preserve">Waelkens, J., </w:t>
      </w:r>
      <w:r w:rsidRPr="004B75B8">
        <w:rPr>
          <w:rFonts w:ascii="Arial" w:hAnsi="Arial" w:cs="Arial"/>
          <w:i/>
          <w:sz w:val="24"/>
          <w:szCs w:val="24"/>
        </w:rPr>
        <w:t>Dopamine blockade with domperidone: bridge between prophylactic and abortive treatment of migraine? A dose-finding study.</w:t>
      </w:r>
      <w:r w:rsidRPr="004B75B8">
        <w:rPr>
          <w:rFonts w:ascii="Arial" w:hAnsi="Arial" w:cs="Arial"/>
          <w:sz w:val="24"/>
          <w:szCs w:val="24"/>
        </w:rPr>
        <w:t xml:space="preserve"> Cephalalgia, 1984. </w:t>
      </w:r>
      <w:r w:rsidRPr="004B75B8">
        <w:rPr>
          <w:rFonts w:ascii="Arial" w:hAnsi="Arial" w:cs="Arial"/>
          <w:b/>
          <w:sz w:val="24"/>
          <w:szCs w:val="24"/>
        </w:rPr>
        <w:t>4</w:t>
      </w:r>
      <w:r w:rsidRPr="004B75B8">
        <w:rPr>
          <w:rFonts w:ascii="Arial" w:hAnsi="Arial" w:cs="Arial"/>
          <w:sz w:val="24"/>
          <w:szCs w:val="24"/>
        </w:rPr>
        <w:t>(2): p. 85-90.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59.</w:t>
      </w:r>
      <w:r w:rsidRPr="004B75B8">
        <w:rPr>
          <w:rFonts w:ascii="Arial" w:hAnsi="Arial" w:cs="Arial"/>
          <w:sz w:val="24"/>
          <w:szCs w:val="24"/>
        </w:rPr>
        <w:tab/>
        <w:t xml:space="preserve">Friedman, B.W., et al., </w:t>
      </w:r>
      <w:r w:rsidRPr="004B75B8">
        <w:rPr>
          <w:rFonts w:ascii="Arial" w:hAnsi="Arial" w:cs="Arial"/>
          <w:i/>
          <w:sz w:val="24"/>
          <w:szCs w:val="24"/>
        </w:rPr>
        <w:t>A randomized controlled trial of prochlorperazine versus metoclopramide for treatment of acute migraine.</w:t>
      </w:r>
      <w:r w:rsidRPr="004B75B8">
        <w:rPr>
          <w:rFonts w:ascii="Arial" w:hAnsi="Arial" w:cs="Arial"/>
          <w:sz w:val="24"/>
          <w:szCs w:val="24"/>
        </w:rPr>
        <w:t xml:space="preserve"> Ann Emerg Med, 2008. </w:t>
      </w:r>
      <w:r w:rsidRPr="004B75B8">
        <w:rPr>
          <w:rFonts w:ascii="Arial" w:hAnsi="Arial" w:cs="Arial"/>
          <w:b/>
          <w:sz w:val="24"/>
          <w:szCs w:val="24"/>
        </w:rPr>
        <w:t>52</w:t>
      </w:r>
      <w:r w:rsidRPr="004B75B8">
        <w:rPr>
          <w:rFonts w:ascii="Arial" w:hAnsi="Arial" w:cs="Arial"/>
          <w:sz w:val="24"/>
          <w:szCs w:val="24"/>
        </w:rPr>
        <w:t>(4): p. 399-406.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60.</w:t>
      </w:r>
      <w:r w:rsidRPr="004B75B8">
        <w:rPr>
          <w:rFonts w:ascii="Arial" w:hAnsi="Arial" w:cs="Arial"/>
          <w:sz w:val="24"/>
          <w:szCs w:val="24"/>
        </w:rPr>
        <w:tab/>
        <w:t xml:space="preserve">Friedman, B.W., et al., </w:t>
      </w:r>
      <w:r w:rsidRPr="004B75B8">
        <w:rPr>
          <w:rFonts w:ascii="Arial" w:hAnsi="Arial" w:cs="Arial"/>
          <w:i/>
          <w:sz w:val="24"/>
          <w:szCs w:val="24"/>
        </w:rPr>
        <w:t>Metoclopramide for acute migraine: a dose-finding randomized clinical trial.</w:t>
      </w:r>
      <w:r w:rsidRPr="004B75B8">
        <w:rPr>
          <w:rFonts w:ascii="Arial" w:hAnsi="Arial" w:cs="Arial"/>
          <w:sz w:val="24"/>
          <w:szCs w:val="24"/>
        </w:rPr>
        <w:t xml:space="preserve"> Ann Emerg Med, 2011. </w:t>
      </w:r>
      <w:r w:rsidRPr="004B75B8">
        <w:rPr>
          <w:rFonts w:ascii="Arial" w:hAnsi="Arial" w:cs="Arial"/>
          <w:b/>
          <w:sz w:val="24"/>
          <w:szCs w:val="24"/>
        </w:rPr>
        <w:t>57</w:t>
      </w:r>
      <w:r w:rsidRPr="004B75B8">
        <w:rPr>
          <w:rFonts w:ascii="Arial" w:hAnsi="Arial" w:cs="Arial"/>
          <w:sz w:val="24"/>
          <w:szCs w:val="24"/>
        </w:rPr>
        <w:t>(5): p. 475-82 e1.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61.</w:t>
      </w:r>
      <w:r w:rsidRPr="004B75B8">
        <w:rPr>
          <w:rFonts w:ascii="Arial" w:hAnsi="Arial" w:cs="Arial"/>
          <w:sz w:val="24"/>
          <w:szCs w:val="24"/>
        </w:rPr>
        <w:tab/>
        <w:t xml:space="preserve">Tfelt-Hansen, P., et al., </w:t>
      </w:r>
      <w:r w:rsidRPr="004B75B8">
        <w:rPr>
          <w:rFonts w:ascii="Arial" w:hAnsi="Arial" w:cs="Arial"/>
          <w:i/>
          <w:sz w:val="24"/>
          <w:szCs w:val="24"/>
        </w:rPr>
        <w:t>The effectiveness of combined oral lysine acetylsalicylate and metoclopramide compared with oral sumatriptan for migraine.</w:t>
      </w:r>
      <w:r w:rsidRPr="004B75B8">
        <w:rPr>
          <w:rFonts w:ascii="Arial" w:hAnsi="Arial" w:cs="Arial"/>
          <w:sz w:val="24"/>
          <w:szCs w:val="24"/>
        </w:rPr>
        <w:t xml:space="preserve"> Lancet, 1995. </w:t>
      </w:r>
      <w:r w:rsidRPr="004B75B8">
        <w:rPr>
          <w:rFonts w:ascii="Arial" w:hAnsi="Arial" w:cs="Arial"/>
          <w:b/>
          <w:sz w:val="24"/>
          <w:szCs w:val="24"/>
        </w:rPr>
        <w:t>346</w:t>
      </w:r>
      <w:r w:rsidRPr="004B75B8">
        <w:rPr>
          <w:rFonts w:ascii="Arial" w:hAnsi="Arial" w:cs="Arial"/>
          <w:sz w:val="24"/>
          <w:szCs w:val="24"/>
        </w:rPr>
        <w:t>(8980): p. 923-6.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62.</w:t>
      </w:r>
      <w:r w:rsidRPr="004B75B8">
        <w:rPr>
          <w:rFonts w:ascii="Arial" w:hAnsi="Arial" w:cs="Arial"/>
          <w:sz w:val="24"/>
          <w:szCs w:val="24"/>
        </w:rPr>
        <w:tab/>
        <w:t xml:space="preserve">Alstadhaug, K.B., </w:t>
      </w:r>
      <w:r w:rsidRPr="004B75B8">
        <w:rPr>
          <w:rFonts w:ascii="Arial" w:hAnsi="Arial" w:cs="Arial"/>
          <w:i/>
          <w:sz w:val="24"/>
          <w:szCs w:val="24"/>
        </w:rPr>
        <w:t>Migraine and the hypothalamus.</w:t>
      </w:r>
      <w:r w:rsidRPr="004B75B8">
        <w:rPr>
          <w:rFonts w:ascii="Arial" w:hAnsi="Arial" w:cs="Arial"/>
          <w:sz w:val="24"/>
          <w:szCs w:val="24"/>
        </w:rPr>
        <w:t xml:space="preserve"> Cephalalgia, 2009. </w:t>
      </w:r>
      <w:r w:rsidRPr="004B75B8">
        <w:rPr>
          <w:rFonts w:ascii="Arial" w:hAnsi="Arial" w:cs="Arial"/>
          <w:b/>
          <w:sz w:val="24"/>
          <w:szCs w:val="24"/>
        </w:rPr>
        <w:t>29</w:t>
      </w:r>
      <w:r w:rsidRPr="004B75B8">
        <w:rPr>
          <w:rFonts w:ascii="Arial" w:hAnsi="Arial" w:cs="Arial"/>
          <w:sz w:val="24"/>
          <w:szCs w:val="24"/>
        </w:rPr>
        <w:t>(8): p. 809-17.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63.</w:t>
      </w:r>
      <w:r w:rsidRPr="004B75B8">
        <w:rPr>
          <w:rFonts w:ascii="Arial" w:hAnsi="Arial" w:cs="Arial"/>
          <w:sz w:val="24"/>
          <w:szCs w:val="24"/>
        </w:rPr>
        <w:tab/>
        <w:t xml:space="preserve">Judit, A., P.S. Sandor, and J. Schoenen, </w:t>
      </w:r>
      <w:r w:rsidRPr="004B75B8">
        <w:rPr>
          <w:rFonts w:ascii="Arial" w:hAnsi="Arial" w:cs="Arial"/>
          <w:i/>
          <w:sz w:val="24"/>
          <w:szCs w:val="24"/>
        </w:rPr>
        <w:t>Habituation of visual and intensity dependence of auditory evoked cortical potentials tends to normalize just before and during the migraine attack.</w:t>
      </w:r>
      <w:r w:rsidRPr="004B75B8">
        <w:rPr>
          <w:rFonts w:ascii="Arial" w:hAnsi="Arial" w:cs="Arial"/>
          <w:sz w:val="24"/>
          <w:szCs w:val="24"/>
        </w:rPr>
        <w:t xml:space="preserve"> Cephalalgia, 2000. </w:t>
      </w:r>
      <w:r w:rsidRPr="004B75B8">
        <w:rPr>
          <w:rFonts w:ascii="Arial" w:hAnsi="Arial" w:cs="Arial"/>
          <w:b/>
          <w:sz w:val="24"/>
          <w:szCs w:val="24"/>
        </w:rPr>
        <w:t>20</w:t>
      </w:r>
      <w:r w:rsidRPr="004B75B8">
        <w:rPr>
          <w:rFonts w:ascii="Arial" w:hAnsi="Arial" w:cs="Arial"/>
          <w:sz w:val="24"/>
          <w:szCs w:val="24"/>
        </w:rPr>
        <w:t>(8): p. 714-9.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64.</w:t>
      </w:r>
      <w:r w:rsidRPr="004B75B8">
        <w:rPr>
          <w:rFonts w:ascii="Arial" w:hAnsi="Arial" w:cs="Arial"/>
          <w:sz w:val="24"/>
          <w:szCs w:val="24"/>
        </w:rPr>
        <w:tab/>
        <w:t xml:space="preserve">Afridi, S.K., H. Kaube, and P.J. Goadsby, </w:t>
      </w:r>
      <w:r w:rsidRPr="004B75B8">
        <w:rPr>
          <w:rFonts w:ascii="Arial" w:hAnsi="Arial" w:cs="Arial"/>
          <w:i/>
          <w:sz w:val="24"/>
          <w:szCs w:val="24"/>
        </w:rPr>
        <w:t>Glyceryl trinitrate triggers premonitory symptoms in migraineurs.</w:t>
      </w:r>
      <w:r w:rsidRPr="004B75B8">
        <w:rPr>
          <w:rFonts w:ascii="Arial" w:hAnsi="Arial" w:cs="Arial"/>
          <w:sz w:val="24"/>
          <w:szCs w:val="24"/>
        </w:rPr>
        <w:t xml:space="preserve"> Pain, 2004. </w:t>
      </w:r>
      <w:r w:rsidRPr="004B75B8">
        <w:rPr>
          <w:rFonts w:ascii="Arial" w:hAnsi="Arial" w:cs="Arial"/>
          <w:b/>
          <w:sz w:val="24"/>
          <w:szCs w:val="24"/>
        </w:rPr>
        <w:t>110</w:t>
      </w:r>
      <w:r w:rsidRPr="004B75B8">
        <w:rPr>
          <w:rFonts w:ascii="Arial" w:hAnsi="Arial" w:cs="Arial"/>
          <w:sz w:val="24"/>
          <w:szCs w:val="24"/>
        </w:rPr>
        <w:t>(3): p. 675-80.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65.</w:t>
      </w:r>
      <w:r w:rsidRPr="004B75B8">
        <w:rPr>
          <w:rFonts w:ascii="Arial" w:hAnsi="Arial" w:cs="Arial"/>
          <w:sz w:val="24"/>
          <w:szCs w:val="24"/>
        </w:rPr>
        <w:tab/>
        <w:t xml:space="preserve">Maniyar, F.H., et al., </w:t>
      </w:r>
      <w:r w:rsidRPr="004B75B8">
        <w:rPr>
          <w:rFonts w:ascii="Arial" w:hAnsi="Arial" w:cs="Arial"/>
          <w:i/>
          <w:sz w:val="24"/>
          <w:szCs w:val="24"/>
        </w:rPr>
        <w:t>The premonitory phase of migraine--what can we learn from it?</w:t>
      </w:r>
      <w:r w:rsidRPr="004B75B8">
        <w:rPr>
          <w:rFonts w:ascii="Arial" w:hAnsi="Arial" w:cs="Arial"/>
          <w:sz w:val="24"/>
          <w:szCs w:val="24"/>
        </w:rPr>
        <w:t xml:space="preserve"> Headache, 2015. </w:t>
      </w:r>
      <w:r w:rsidRPr="004B75B8">
        <w:rPr>
          <w:rFonts w:ascii="Arial" w:hAnsi="Arial" w:cs="Arial"/>
          <w:b/>
          <w:sz w:val="24"/>
          <w:szCs w:val="24"/>
        </w:rPr>
        <w:t>55</w:t>
      </w:r>
      <w:r w:rsidRPr="004B75B8">
        <w:rPr>
          <w:rFonts w:ascii="Arial" w:hAnsi="Arial" w:cs="Arial"/>
          <w:sz w:val="24"/>
          <w:szCs w:val="24"/>
        </w:rPr>
        <w:t>(5): p. 609-20.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66.</w:t>
      </w:r>
      <w:r w:rsidRPr="004B75B8">
        <w:rPr>
          <w:rFonts w:ascii="Arial" w:hAnsi="Arial" w:cs="Arial"/>
          <w:sz w:val="24"/>
          <w:szCs w:val="24"/>
        </w:rPr>
        <w:tab/>
        <w:t xml:space="preserve">Holland, P. and P.J. Goadsby, </w:t>
      </w:r>
      <w:r w:rsidRPr="004B75B8">
        <w:rPr>
          <w:rFonts w:ascii="Arial" w:hAnsi="Arial" w:cs="Arial"/>
          <w:i/>
          <w:sz w:val="24"/>
          <w:szCs w:val="24"/>
        </w:rPr>
        <w:t>The hypothalamic orexinergic system: pain and primary headaches.</w:t>
      </w:r>
      <w:r w:rsidRPr="004B75B8">
        <w:rPr>
          <w:rFonts w:ascii="Arial" w:hAnsi="Arial" w:cs="Arial"/>
          <w:sz w:val="24"/>
          <w:szCs w:val="24"/>
        </w:rPr>
        <w:t xml:space="preserve"> Headache, 2007. </w:t>
      </w:r>
      <w:r w:rsidRPr="004B75B8">
        <w:rPr>
          <w:rFonts w:ascii="Arial" w:hAnsi="Arial" w:cs="Arial"/>
          <w:b/>
          <w:sz w:val="24"/>
          <w:szCs w:val="24"/>
        </w:rPr>
        <w:t>47</w:t>
      </w:r>
      <w:r w:rsidRPr="004B75B8">
        <w:rPr>
          <w:rFonts w:ascii="Arial" w:hAnsi="Arial" w:cs="Arial"/>
          <w:sz w:val="24"/>
          <w:szCs w:val="24"/>
        </w:rPr>
        <w:t>(6): p. 951-62.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67.</w:t>
      </w:r>
      <w:r w:rsidRPr="004B75B8">
        <w:rPr>
          <w:rFonts w:ascii="Arial" w:hAnsi="Arial" w:cs="Arial"/>
          <w:sz w:val="24"/>
          <w:szCs w:val="24"/>
        </w:rPr>
        <w:tab/>
        <w:t xml:space="preserve">Charles, A., </w:t>
      </w:r>
      <w:r w:rsidRPr="004B75B8">
        <w:rPr>
          <w:rFonts w:ascii="Arial" w:hAnsi="Arial" w:cs="Arial"/>
          <w:i/>
          <w:sz w:val="24"/>
          <w:szCs w:val="24"/>
        </w:rPr>
        <w:t>Advances in the basic and clinical science of migraine.</w:t>
      </w:r>
      <w:r w:rsidRPr="004B75B8">
        <w:rPr>
          <w:rFonts w:ascii="Arial" w:hAnsi="Arial" w:cs="Arial"/>
          <w:sz w:val="24"/>
          <w:szCs w:val="24"/>
        </w:rPr>
        <w:t xml:space="preserve"> Ann Neurol, 2009. </w:t>
      </w:r>
      <w:r w:rsidRPr="004B75B8">
        <w:rPr>
          <w:rFonts w:ascii="Arial" w:hAnsi="Arial" w:cs="Arial"/>
          <w:b/>
          <w:sz w:val="24"/>
          <w:szCs w:val="24"/>
        </w:rPr>
        <w:t>65</w:t>
      </w:r>
      <w:r w:rsidRPr="004B75B8">
        <w:rPr>
          <w:rFonts w:ascii="Arial" w:hAnsi="Arial" w:cs="Arial"/>
          <w:sz w:val="24"/>
          <w:szCs w:val="24"/>
        </w:rPr>
        <w:t>(5): p. 491-8.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68.</w:t>
      </w:r>
      <w:r w:rsidRPr="004B75B8">
        <w:rPr>
          <w:rFonts w:ascii="Arial" w:hAnsi="Arial" w:cs="Arial"/>
          <w:sz w:val="24"/>
          <w:szCs w:val="24"/>
        </w:rPr>
        <w:tab/>
        <w:t xml:space="preserve">Lauritzen, M., </w:t>
      </w:r>
      <w:r w:rsidRPr="004B75B8">
        <w:rPr>
          <w:rFonts w:ascii="Arial" w:hAnsi="Arial" w:cs="Arial"/>
          <w:i/>
          <w:sz w:val="24"/>
          <w:szCs w:val="24"/>
        </w:rPr>
        <w:t>Pathophysiology of the migraine aura. The spreading depression theory.</w:t>
      </w:r>
      <w:r w:rsidRPr="004B75B8">
        <w:rPr>
          <w:rFonts w:ascii="Arial" w:hAnsi="Arial" w:cs="Arial"/>
          <w:sz w:val="24"/>
          <w:szCs w:val="24"/>
        </w:rPr>
        <w:t xml:space="preserve"> Brain, 1994. </w:t>
      </w:r>
      <w:r w:rsidRPr="004B75B8">
        <w:rPr>
          <w:rFonts w:ascii="Arial" w:hAnsi="Arial" w:cs="Arial"/>
          <w:b/>
          <w:sz w:val="24"/>
          <w:szCs w:val="24"/>
        </w:rPr>
        <w:t>117 ( Pt 1)</w:t>
      </w:r>
      <w:r w:rsidRPr="004B75B8">
        <w:rPr>
          <w:rFonts w:ascii="Arial" w:hAnsi="Arial" w:cs="Arial"/>
          <w:sz w:val="24"/>
          <w:szCs w:val="24"/>
        </w:rPr>
        <w:t>: p. 199-210.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69.</w:t>
      </w:r>
      <w:r w:rsidRPr="004B75B8">
        <w:rPr>
          <w:rFonts w:ascii="Arial" w:hAnsi="Arial" w:cs="Arial"/>
          <w:sz w:val="24"/>
          <w:szCs w:val="24"/>
        </w:rPr>
        <w:tab/>
        <w:t xml:space="preserve">Lauritzen, M., et al., </w:t>
      </w:r>
      <w:r w:rsidRPr="004B75B8">
        <w:rPr>
          <w:rFonts w:ascii="Arial" w:hAnsi="Arial" w:cs="Arial"/>
          <w:i/>
          <w:sz w:val="24"/>
          <w:szCs w:val="24"/>
        </w:rPr>
        <w:t>Clinical relevance of cortical spreading depression in neurological disorders: migraine, malignant stroke, subarachnoid and intracranial hemorrhage, and traumatic brain injury.</w:t>
      </w:r>
      <w:r w:rsidRPr="004B75B8">
        <w:rPr>
          <w:rFonts w:ascii="Arial" w:hAnsi="Arial" w:cs="Arial"/>
          <w:sz w:val="24"/>
          <w:szCs w:val="24"/>
        </w:rPr>
        <w:t xml:space="preserve"> J Cereb Blood Flow Metab, 2011. </w:t>
      </w:r>
      <w:r w:rsidRPr="004B75B8">
        <w:rPr>
          <w:rFonts w:ascii="Arial" w:hAnsi="Arial" w:cs="Arial"/>
          <w:b/>
          <w:sz w:val="24"/>
          <w:szCs w:val="24"/>
        </w:rPr>
        <w:t>31</w:t>
      </w:r>
      <w:r w:rsidRPr="004B75B8">
        <w:rPr>
          <w:rFonts w:ascii="Arial" w:hAnsi="Arial" w:cs="Arial"/>
          <w:sz w:val="24"/>
          <w:szCs w:val="24"/>
        </w:rPr>
        <w:t>(1): p. 17-35.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70.</w:t>
      </w:r>
      <w:r w:rsidRPr="004B75B8">
        <w:rPr>
          <w:rFonts w:ascii="Arial" w:hAnsi="Arial" w:cs="Arial"/>
          <w:sz w:val="24"/>
          <w:szCs w:val="24"/>
        </w:rPr>
        <w:tab/>
        <w:t xml:space="preserve">Somjen, G.G., </w:t>
      </w:r>
      <w:r w:rsidRPr="004B75B8">
        <w:rPr>
          <w:rFonts w:ascii="Arial" w:hAnsi="Arial" w:cs="Arial"/>
          <w:i/>
          <w:sz w:val="24"/>
          <w:szCs w:val="24"/>
        </w:rPr>
        <w:t>Mechanisms of spreading depression and hypoxic spreading depression-like depolarization.</w:t>
      </w:r>
      <w:r w:rsidRPr="004B75B8">
        <w:rPr>
          <w:rFonts w:ascii="Arial" w:hAnsi="Arial" w:cs="Arial"/>
          <w:sz w:val="24"/>
          <w:szCs w:val="24"/>
        </w:rPr>
        <w:t xml:space="preserve"> Physiol Rev, 2001. </w:t>
      </w:r>
      <w:r w:rsidRPr="004B75B8">
        <w:rPr>
          <w:rFonts w:ascii="Arial" w:hAnsi="Arial" w:cs="Arial"/>
          <w:b/>
          <w:sz w:val="24"/>
          <w:szCs w:val="24"/>
        </w:rPr>
        <w:t>81</w:t>
      </w:r>
      <w:r w:rsidRPr="004B75B8">
        <w:rPr>
          <w:rFonts w:ascii="Arial" w:hAnsi="Arial" w:cs="Arial"/>
          <w:sz w:val="24"/>
          <w:szCs w:val="24"/>
        </w:rPr>
        <w:t>(3): p. 1065-96.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71.</w:t>
      </w:r>
      <w:r w:rsidRPr="004B75B8">
        <w:rPr>
          <w:rFonts w:ascii="Arial" w:hAnsi="Arial" w:cs="Arial"/>
          <w:sz w:val="24"/>
          <w:szCs w:val="24"/>
        </w:rPr>
        <w:tab/>
        <w:t xml:space="preserve">Brennan, K.C., et al., </w:t>
      </w:r>
      <w:r w:rsidRPr="004B75B8">
        <w:rPr>
          <w:rFonts w:ascii="Arial" w:hAnsi="Arial" w:cs="Arial"/>
          <w:i/>
          <w:sz w:val="24"/>
          <w:szCs w:val="24"/>
        </w:rPr>
        <w:t>Distinct vascular conduction with cortical spreading depression.</w:t>
      </w:r>
      <w:r w:rsidRPr="004B75B8">
        <w:rPr>
          <w:rFonts w:ascii="Arial" w:hAnsi="Arial" w:cs="Arial"/>
          <w:sz w:val="24"/>
          <w:szCs w:val="24"/>
        </w:rPr>
        <w:t xml:space="preserve"> J Neurophysiol, 2007. </w:t>
      </w:r>
      <w:r w:rsidRPr="004B75B8">
        <w:rPr>
          <w:rFonts w:ascii="Arial" w:hAnsi="Arial" w:cs="Arial"/>
          <w:b/>
          <w:sz w:val="24"/>
          <w:szCs w:val="24"/>
        </w:rPr>
        <w:t>97</w:t>
      </w:r>
      <w:r w:rsidRPr="004B75B8">
        <w:rPr>
          <w:rFonts w:ascii="Arial" w:hAnsi="Arial" w:cs="Arial"/>
          <w:sz w:val="24"/>
          <w:szCs w:val="24"/>
        </w:rPr>
        <w:t>(6): p. 4143-51.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72.</w:t>
      </w:r>
      <w:r w:rsidRPr="004B75B8">
        <w:rPr>
          <w:rFonts w:ascii="Arial" w:hAnsi="Arial" w:cs="Arial"/>
          <w:sz w:val="24"/>
          <w:szCs w:val="24"/>
        </w:rPr>
        <w:tab/>
        <w:t xml:space="preserve">Shinohara, M., et al., </w:t>
      </w:r>
      <w:r w:rsidRPr="004B75B8">
        <w:rPr>
          <w:rFonts w:ascii="Arial" w:hAnsi="Arial" w:cs="Arial"/>
          <w:i/>
          <w:sz w:val="24"/>
          <w:szCs w:val="24"/>
        </w:rPr>
        <w:t>Cerebral glucose utilization: local changes during and after recovery from spreading cortical depression.</w:t>
      </w:r>
      <w:r w:rsidRPr="004B75B8">
        <w:rPr>
          <w:rFonts w:ascii="Arial" w:hAnsi="Arial" w:cs="Arial"/>
          <w:sz w:val="24"/>
          <w:szCs w:val="24"/>
        </w:rPr>
        <w:t xml:space="preserve"> Science, 1979. </w:t>
      </w:r>
      <w:r w:rsidRPr="004B75B8">
        <w:rPr>
          <w:rFonts w:ascii="Arial" w:hAnsi="Arial" w:cs="Arial"/>
          <w:b/>
          <w:sz w:val="24"/>
          <w:szCs w:val="24"/>
        </w:rPr>
        <w:t>203</w:t>
      </w:r>
      <w:r w:rsidRPr="004B75B8">
        <w:rPr>
          <w:rFonts w:ascii="Arial" w:hAnsi="Arial" w:cs="Arial"/>
          <w:sz w:val="24"/>
          <w:szCs w:val="24"/>
        </w:rPr>
        <w:t>(4376): p. 188-90.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73.</w:t>
      </w:r>
      <w:r w:rsidRPr="004B75B8">
        <w:rPr>
          <w:rFonts w:ascii="Arial" w:hAnsi="Arial" w:cs="Arial"/>
          <w:sz w:val="24"/>
          <w:szCs w:val="24"/>
        </w:rPr>
        <w:tab/>
        <w:t xml:space="preserve">Karatas, H., et al., </w:t>
      </w:r>
      <w:r w:rsidRPr="004B75B8">
        <w:rPr>
          <w:rFonts w:ascii="Arial" w:hAnsi="Arial" w:cs="Arial"/>
          <w:i/>
          <w:sz w:val="24"/>
          <w:szCs w:val="24"/>
        </w:rPr>
        <w:t>Spreading depression triggers headache by activating neuronal Panx1 channels.</w:t>
      </w:r>
      <w:r w:rsidRPr="004B75B8">
        <w:rPr>
          <w:rFonts w:ascii="Arial" w:hAnsi="Arial" w:cs="Arial"/>
          <w:sz w:val="24"/>
          <w:szCs w:val="24"/>
        </w:rPr>
        <w:t xml:space="preserve"> Science, 2013. </w:t>
      </w:r>
      <w:r w:rsidRPr="004B75B8">
        <w:rPr>
          <w:rFonts w:ascii="Arial" w:hAnsi="Arial" w:cs="Arial"/>
          <w:b/>
          <w:sz w:val="24"/>
          <w:szCs w:val="24"/>
        </w:rPr>
        <w:t>339</w:t>
      </w:r>
      <w:r w:rsidRPr="004B75B8">
        <w:rPr>
          <w:rFonts w:ascii="Arial" w:hAnsi="Arial" w:cs="Arial"/>
          <w:sz w:val="24"/>
          <w:szCs w:val="24"/>
        </w:rPr>
        <w:t>(6123): p. 1092-5.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74.</w:t>
      </w:r>
      <w:r w:rsidRPr="004B75B8">
        <w:rPr>
          <w:rFonts w:ascii="Arial" w:hAnsi="Arial" w:cs="Arial"/>
          <w:sz w:val="24"/>
          <w:szCs w:val="24"/>
        </w:rPr>
        <w:tab/>
        <w:t xml:space="preserve">Moskowitz, M.A., K. Nozaki, and R.P. Kraig, </w:t>
      </w:r>
      <w:r w:rsidRPr="004B75B8">
        <w:rPr>
          <w:rFonts w:ascii="Arial" w:hAnsi="Arial" w:cs="Arial"/>
          <w:i/>
          <w:sz w:val="24"/>
          <w:szCs w:val="24"/>
        </w:rPr>
        <w:t>Neocortical spreading depression provokes the expression of c-fos protein-like immunoreactivity within trigeminal nucleus caudalis via trigeminovascular mechanisms.</w:t>
      </w:r>
      <w:r w:rsidRPr="004B75B8">
        <w:rPr>
          <w:rFonts w:ascii="Arial" w:hAnsi="Arial" w:cs="Arial"/>
          <w:sz w:val="24"/>
          <w:szCs w:val="24"/>
        </w:rPr>
        <w:t xml:space="preserve"> J Neurosci, 1993. </w:t>
      </w:r>
      <w:r w:rsidRPr="004B75B8">
        <w:rPr>
          <w:rFonts w:ascii="Arial" w:hAnsi="Arial" w:cs="Arial"/>
          <w:b/>
          <w:sz w:val="24"/>
          <w:szCs w:val="24"/>
        </w:rPr>
        <w:t>13</w:t>
      </w:r>
      <w:r w:rsidRPr="004B75B8">
        <w:rPr>
          <w:rFonts w:ascii="Arial" w:hAnsi="Arial" w:cs="Arial"/>
          <w:sz w:val="24"/>
          <w:szCs w:val="24"/>
        </w:rPr>
        <w:t>(3): p. 1167-77.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75.</w:t>
      </w:r>
      <w:r w:rsidRPr="004B75B8">
        <w:rPr>
          <w:rFonts w:ascii="Arial" w:hAnsi="Arial" w:cs="Arial"/>
          <w:sz w:val="24"/>
          <w:szCs w:val="24"/>
        </w:rPr>
        <w:tab/>
        <w:t xml:space="preserve">Gursoy-Ozdemir, Y., et al., </w:t>
      </w:r>
      <w:r w:rsidRPr="004B75B8">
        <w:rPr>
          <w:rFonts w:ascii="Arial" w:hAnsi="Arial" w:cs="Arial"/>
          <w:i/>
          <w:sz w:val="24"/>
          <w:szCs w:val="24"/>
        </w:rPr>
        <w:t>Cortical spreading depression activates and upregulates MMP-9.</w:t>
      </w:r>
      <w:r w:rsidRPr="004B75B8">
        <w:rPr>
          <w:rFonts w:ascii="Arial" w:hAnsi="Arial" w:cs="Arial"/>
          <w:sz w:val="24"/>
          <w:szCs w:val="24"/>
        </w:rPr>
        <w:t xml:space="preserve"> J Clin Invest, 2004. </w:t>
      </w:r>
      <w:r w:rsidRPr="004B75B8">
        <w:rPr>
          <w:rFonts w:ascii="Arial" w:hAnsi="Arial" w:cs="Arial"/>
          <w:b/>
          <w:sz w:val="24"/>
          <w:szCs w:val="24"/>
        </w:rPr>
        <w:t>113</w:t>
      </w:r>
      <w:r w:rsidRPr="004B75B8">
        <w:rPr>
          <w:rFonts w:ascii="Arial" w:hAnsi="Arial" w:cs="Arial"/>
          <w:sz w:val="24"/>
          <w:szCs w:val="24"/>
        </w:rPr>
        <w:t>(10): p. 1447-55.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76.</w:t>
      </w:r>
      <w:r w:rsidRPr="004B75B8">
        <w:rPr>
          <w:rFonts w:ascii="Arial" w:hAnsi="Arial" w:cs="Arial"/>
          <w:sz w:val="24"/>
          <w:szCs w:val="24"/>
        </w:rPr>
        <w:tab/>
        <w:t xml:space="preserve">Bolay, H., et al., </w:t>
      </w:r>
      <w:r w:rsidRPr="004B75B8">
        <w:rPr>
          <w:rFonts w:ascii="Arial" w:hAnsi="Arial" w:cs="Arial"/>
          <w:i/>
          <w:sz w:val="24"/>
          <w:szCs w:val="24"/>
        </w:rPr>
        <w:t>Intrinsic brain activity triggers trigeminal meningeal afferents in a migraine model.</w:t>
      </w:r>
      <w:r w:rsidRPr="004B75B8">
        <w:rPr>
          <w:rFonts w:ascii="Arial" w:hAnsi="Arial" w:cs="Arial"/>
          <w:sz w:val="24"/>
          <w:szCs w:val="24"/>
        </w:rPr>
        <w:t xml:space="preserve"> Nat Med, 2002. </w:t>
      </w:r>
      <w:r w:rsidRPr="004B75B8">
        <w:rPr>
          <w:rFonts w:ascii="Arial" w:hAnsi="Arial" w:cs="Arial"/>
          <w:b/>
          <w:sz w:val="24"/>
          <w:szCs w:val="24"/>
        </w:rPr>
        <w:t>8</w:t>
      </w:r>
      <w:r w:rsidRPr="004B75B8">
        <w:rPr>
          <w:rFonts w:ascii="Arial" w:hAnsi="Arial" w:cs="Arial"/>
          <w:sz w:val="24"/>
          <w:szCs w:val="24"/>
        </w:rPr>
        <w:t>(2): p. 136-42.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77.</w:t>
      </w:r>
      <w:r w:rsidRPr="004B75B8">
        <w:rPr>
          <w:rFonts w:ascii="Arial" w:hAnsi="Arial" w:cs="Arial"/>
          <w:sz w:val="24"/>
          <w:szCs w:val="24"/>
        </w:rPr>
        <w:tab/>
        <w:t xml:space="preserve">Arbab, M.A., L. Wiklund, and N.A. Svendgaard, </w:t>
      </w:r>
      <w:r w:rsidRPr="004B75B8">
        <w:rPr>
          <w:rFonts w:ascii="Arial" w:hAnsi="Arial" w:cs="Arial"/>
          <w:i/>
          <w:sz w:val="24"/>
          <w:szCs w:val="24"/>
        </w:rPr>
        <w:t>Origin and distribution of cerebral vascular innervation from superior cervical, trigeminal and spinal ganglia investigated with retrograde and anterograde WGA-HRP tracing in the rat.</w:t>
      </w:r>
      <w:r w:rsidRPr="004B75B8">
        <w:rPr>
          <w:rFonts w:ascii="Arial" w:hAnsi="Arial" w:cs="Arial"/>
          <w:sz w:val="24"/>
          <w:szCs w:val="24"/>
        </w:rPr>
        <w:t xml:space="preserve"> Neuroscience, 1986. </w:t>
      </w:r>
      <w:r w:rsidRPr="004B75B8">
        <w:rPr>
          <w:rFonts w:ascii="Arial" w:hAnsi="Arial" w:cs="Arial"/>
          <w:b/>
          <w:sz w:val="24"/>
          <w:szCs w:val="24"/>
        </w:rPr>
        <w:t>19</w:t>
      </w:r>
      <w:r w:rsidRPr="004B75B8">
        <w:rPr>
          <w:rFonts w:ascii="Arial" w:hAnsi="Arial" w:cs="Arial"/>
          <w:sz w:val="24"/>
          <w:szCs w:val="24"/>
        </w:rPr>
        <w:t>(3): p. 695-708.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78.</w:t>
      </w:r>
      <w:r w:rsidRPr="004B75B8">
        <w:rPr>
          <w:rFonts w:ascii="Arial" w:hAnsi="Arial" w:cs="Arial"/>
          <w:sz w:val="24"/>
          <w:szCs w:val="24"/>
        </w:rPr>
        <w:tab/>
        <w:t xml:space="preserve">Marfurt, C.F., </w:t>
      </w:r>
      <w:r w:rsidRPr="004B75B8">
        <w:rPr>
          <w:rFonts w:ascii="Arial" w:hAnsi="Arial" w:cs="Arial"/>
          <w:i/>
          <w:sz w:val="24"/>
          <w:szCs w:val="24"/>
        </w:rPr>
        <w:t>The central projections of trigeminal primary afferent neurons in the cat as determined by the tranganglionic transport of horseradish peroxidase.</w:t>
      </w:r>
      <w:r w:rsidRPr="004B75B8">
        <w:rPr>
          <w:rFonts w:ascii="Arial" w:hAnsi="Arial" w:cs="Arial"/>
          <w:sz w:val="24"/>
          <w:szCs w:val="24"/>
        </w:rPr>
        <w:t xml:space="preserve"> J Comp Neurol, 1981. </w:t>
      </w:r>
      <w:r w:rsidRPr="004B75B8">
        <w:rPr>
          <w:rFonts w:ascii="Arial" w:hAnsi="Arial" w:cs="Arial"/>
          <w:b/>
          <w:sz w:val="24"/>
          <w:szCs w:val="24"/>
        </w:rPr>
        <w:t>203</w:t>
      </w:r>
      <w:r w:rsidRPr="004B75B8">
        <w:rPr>
          <w:rFonts w:ascii="Arial" w:hAnsi="Arial" w:cs="Arial"/>
          <w:sz w:val="24"/>
          <w:szCs w:val="24"/>
        </w:rPr>
        <w:t>(4): p. 785-98.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79.</w:t>
      </w:r>
      <w:r w:rsidRPr="004B75B8">
        <w:rPr>
          <w:rFonts w:ascii="Arial" w:hAnsi="Arial" w:cs="Arial"/>
          <w:sz w:val="24"/>
          <w:szCs w:val="24"/>
        </w:rPr>
        <w:tab/>
        <w:t xml:space="preserve">Bartsch, T. and P.J. Goadsby, </w:t>
      </w:r>
      <w:r w:rsidRPr="004B75B8">
        <w:rPr>
          <w:rFonts w:ascii="Arial" w:hAnsi="Arial" w:cs="Arial"/>
          <w:i/>
          <w:sz w:val="24"/>
          <w:szCs w:val="24"/>
        </w:rPr>
        <w:t>Stimulation of the greater occipital nerve induces increased central excitability of dural afferent input.</w:t>
      </w:r>
      <w:r w:rsidRPr="004B75B8">
        <w:rPr>
          <w:rFonts w:ascii="Arial" w:hAnsi="Arial" w:cs="Arial"/>
          <w:sz w:val="24"/>
          <w:szCs w:val="24"/>
        </w:rPr>
        <w:t xml:space="preserve"> Brain, 2002. </w:t>
      </w:r>
      <w:r w:rsidRPr="004B75B8">
        <w:rPr>
          <w:rFonts w:ascii="Arial" w:hAnsi="Arial" w:cs="Arial"/>
          <w:b/>
          <w:sz w:val="24"/>
          <w:szCs w:val="24"/>
        </w:rPr>
        <w:t>125</w:t>
      </w:r>
      <w:r w:rsidRPr="004B75B8">
        <w:rPr>
          <w:rFonts w:ascii="Arial" w:hAnsi="Arial" w:cs="Arial"/>
          <w:sz w:val="24"/>
          <w:szCs w:val="24"/>
        </w:rPr>
        <w:t>(Pt 7): p. 1496-509.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80.</w:t>
      </w:r>
      <w:r w:rsidRPr="004B75B8">
        <w:rPr>
          <w:rFonts w:ascii="Arial" w:hAnsi="Arial" w:cs="Arial"/>
          <w:sz w:val="24"/>
          <w:szCs w:val="24"/>
        </w:rPr>
        <w:tab/>
        <w:t xml:space="preserve">Bartsch, T. and P.J. Goadsby, </w:t>
      </w:r>
      <w:r w:rsidRPr="004B75B8">
        <w:rPr>
          <w:rFonts w:ascii="Arial" w:hAnsi="Arial" w:cs="Arial"/>
          <w:i/>
          <w:sz w:val="24"/>
          <w:szCs w:val="24"/>
        </w:rPr>
        <w:t>Increased responses in trigeminocervical nociceptive neurons to cervical input after stimulation of the dura mater.</w:t>
      </w:r>
      <w:r w:rsidRPr="004B75B8">
        <w:rPr>
          <w:rFonts w:ascii="Arial" w:hAnsi="Arial" w:cs="Arial"/>
          <w:sz w:val="24"/>
          <w:szCs w:val="24"/>
        </w:rPr>
        <w:t xml:space="preserve"> Brain, 2003. </w:t>
      </w:r>
      <w:r w:rsidRPr="004B75B8">
        <w:rPr>
          <w:rFonts w:ascii="Arial" w:hAnsi="Arial" w:cs="Arial"/>
          <w:b/>
          <w:sz w:val="24"/>
          <w:szCs w:val="24"/>
        </w:rPr>
        <w:t>126</w:t>
      </w:r>
      <w:r w:rsidRPr="004B75B8">
        <w:rPr>
          <w:rFonts w:ascii="Arial" w:hAnsi="Arial" w:cs="Arial"/>
          <w:sz w:val="24"/>
          <w:szCs w:val="24"/>
        </w:rPr>
        <w:t>(Pt 8): p. 1801-13.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81.</w:t>
      </w:r>
      <w:r w:rsidRPr="004B75B8">
        <w:rPr>
          <w:rFonts w:ascii="Arial" w:hAnsi="Arial" w:cs="Arial"/>
          <w:sz w:val="24"/>
          <w:szCs w:val="24"/>
        </w:rPr>
        <w:tab/>
        <w:t xml:space="preserve">Wise, S.P. and E.G. Jones, </w:t>
      </w:r>
      <w:r w:rsidRPr="004B75B8">
        <w:rPr>
          <w:rFonts w:ascii="Arial" w:hAnsi="Arial" w:cs="Arial"/>
          <w:i/>
          <w:sz w:val="24"/>
          <w:szCs w:val="24"/>
        </w:rPr>
        <w:t>Cells of origin and terminal distribution of descending projections of the rat somatic sensory cortex.</w:t>
      </w:r>
      <w:r w:rsidRPr="004B75B8">
        <w:rPr>
          <w:rFonts w:ascii="Arial" w:hAnsi="Arial" w:cs="Arial"/>
          <w:sz w:val="24"/>
          <w:szCs w:val="24"/>
        </w:rPr>
        <w:t xml:space="preserve"> J Comp Neurol, 1977. </w:t>
      </w:r>
      <w:r w:rsidRPr="004B75B8">
        <w:rPr>
          <w:rFonts w:ascii="Arial" w:hAnsi="Arial" w:cs="Arial"/>
          <w:b/>
          <w:sz w:val="24"/>
          <w:szCs w:val="24"/>
        </w:rPr>
        <w:t>175</w:t>
      </w:r>
      <w:r w:rsidRPr="004B75B8">
        <w:rPr>
          <w:rFonts w:ascii="Arial" w:hAnsi="Arial" w:cs="Arial"/>
          <w:sz w:val="24"/>
          <w:szCs w:val="24"/>
        </w:rPr>
        <w:t>(2): p. 129-57.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82.</w:t>
      </w:r>
      <w:r w:rsidRPr="004B75B8">
        <w:rPr>
          <w:rFonts w:ascii="Arial" w:hAnsi="Arial" w:cs="Arial"/>
          <w:sz w:val="24"/>
          <w:szCs w:val="24"/>
        </w:rPr>
        <w:tab/>
        <w:t xml:space="preserve">Hu, J.W., J.O. Dostrovsky, and B.J. Sessle, </w:t>
      </w:r>
      <w:r w:rsidRPr="004B75B8">
        <w:rPr>
          <w:rFonts w:ascii="Arial" w:hAnsi="Arial" w:cs="Arial"/>
          <w:i/>
          <w:sz w:val="24"/>
          <w:szCs w:val="24"/>
        </w:rPr>
        <w:t>Functional properties of neurons in cat trigeminal subnucleus caudalis (medullary dorsal horn). I. Responses to oral-facial noxious and nonnoxious stimuli and projections to thalamus and subnucleus oralis.</w:t>
      </w:r>
      <w:r w:rsidRPr="004B75B8">
        <w:rPr>
          <w:rFonts w:ascii="Arial" w:hAnsi="Arial" w:cs="Arial"/>
          <w:sz w:val="24"/>
          <w:szCs w:val="24"/>
        </w:rPr>
        <w:t xml:space="preserve"> J Neurophysiol, 1981. </w:t>
      </w:r>
      <w:r w:rsidRPr="004B75B8">
        <w:rPr>
          <w:rFonts w:ascii="Arial" w:hAnsi="Arial" w:cs="Arial"/>
          <w:b/>
          <w:sz w:val="24"/>
          <w:szCs w:val="24"/>
        </w:rPr>
        <w:t>45</w:t>
      </w:r>
      <w:r w:rsidRPr="004B75B8">
        <w:rPr>
          <w:rFonts w:ascii="Arial" w:hAnsi="Arial" w:cs="Arial"/>
          <w:sz w:val="24"/>
          <w:szCs w:val="24"/>
        </w:rPr>
        <w:t>(2): p. 173-92.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83.</w:t>
      </w:r>
      <w:r w:rsidRPr="004B75B8">
        <w:rPr>
          <w:rFonts w:ascii="Arial" w:hAnsi="Arial" w:cs="Arial"/>
          <w:sz w:val="24"/>
          <w:szCs w:val="24"/>
        </w:rPr>
        <w:tab/>
        <w:t xml:space="preserve">Zagami, A.S. and G.A. Lambert, </w:t>
      </w:r>
      <w:r w:rsidRPr="004B75B8">
        <w:rPr>
          <w:rFonts w:ascii="Arial" w:hAnsi="Arial" w:cs="Arial"/>
          <w:i/>
          <w:sz w:val="24"/>
          <w:szCs w:val="24"/>
        </w:rPr>
        <w:t>Craniovascular application of capsaicin activates nociceptive thalamic neurones in the cat.</w:t>
      </w:r>
      <w:r w:rsidRPr="004B75B8">
        <w:rPr>
          <w:rFonts w:ascii="Arial" w:hAnsi="Arial" w:cs="Arial"/>
          <w:sz w:val="24"/>
          <w:szCs w:val="24"/>
        </w:rPr>
        <w:t xml:space="preserve"> Neurosci Lett, 1991. </w:t>
      </w:r>
      <w:r w:rsidRPr="004B75B8">
        <w:rPr>
          <w:rFonts w:ascii="Arial" w:hAnsi="Arial" w:cs="Arial"/>
          <w:b/>
          <w:sz w:val="24"/>
          <w:szCs w:val="24"/>
        </w:rPr>
        <w:t>121</w:t>
      </w:r>
      <w:r w:rsidRPr="004B75B8">
        <w:rPr>
          <w:rFonts w:ascii="Arial" w:hAnsi="Arial" w:cs="Arial"/>
          <w:sz w:val="24"/>
          <w:szCs w:val="24"/>
        </w:rPr>
        <w:t>(1-2): p. 187-90.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84.</w:t>
      </w:r>
      <w:r w:rsidRPr="004B75B8">
        <w:rPr>
          <w:rFonts w:ascii="Arial" w:hAnsi="Arial" w:cs="Arial"/>
          <w:sz w:val="24"/>
          <w:szCs w:val="24"/>
        </w:rPr>
        <w:tab/>
        <w:t xml:space="preserve">Jacquin, M.F., et al., </w:t>
      </w:r>
      <w:r w:rsidRPr="004B75B8">
        <w:rPr>
          <w:rFonts w:ascii="Arial" w:hAnsi="Arial" w:cs="Arial"/>
          <w:i/>
          <w:sz w:val="24"/>
          <w:szCs w:val="24"/>
        </w:rPr>
        <w:t>Intersubnuclear connections within the rat trigeminal brainstem complex.</w:t>
      </w:r>
      <w:r w:rsidRPr="004B75B8">
        <w:rPr>
          <w:rFonts w:ascii="Arial" w:hAnsi="Arial" w:cs="Arial"/>
          <w:sz w:val="24"/>
          <w:szCs w:val="24"/>
        </w:rPr>
        <w:t xml:space="preserve"> Somatosens Mot Res, 1990. </w:t>
      </w:r>
      <w:r w:rsidRPr="004B75B8">
        <w:rPr>
          <w:rFonts w:ascii="Arial" w:hAnsi="Arial" w:cs="Arial"/>
          <w:b/>
          <w:sz w:val="24"/>
          <w:szCs w:val="24"/>
        </w:rPr>
        <w:t>7</w:t>
      </w:r>
      <w:r w:rsidRPr="004B75B8">
        <w:rPr>
          <w:rFonts w:ascii="Arial" w:hAnsi="Arial" w:cs="Arial"/>
          <w:sz w:val="24"/>
          <w:szCs w:val="24"/>
        </w:rPr>
        <w:t>(4): p. 399-420.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85.</w:t>
      </w:r>
      <w:r w:rsidRPr="004B75B8">
        <w:rPr>
          <w:rFonts w:ascii="Arial" w:hAnsi="Arial" w:cs="Arial"/>
          <w:sz w:val="24"/>
          <w:szCs w:val="24"/>
        </w:rPr>
        <w:tab/>
        <w:t xml:space="preserve">Renehan, W.E., et al., </w:t>
      </w:r>
      <w:r w:rsidRPr="004B75B8">
        <w:rPr>
          <w:rFonts w:ascii="Arial" w:hAnsi="Arial" w:cs="Arial"/>
          <w:i/>
          <w:sz w:val="24"/>
          <w:szCs w:val="24"/>
        </w:rPr>
        <w:t>Structure-function relationships in rat medullary and cervical dorsal horns. II. Medullary dorsal horn cells.</w:t>
      </w:r>
      <w:r w:rsidRPr="004B75B8">
        <w:rPr>
          <w:rFonts w:ascii="Arial" w:hAnsi="Arial" w:cs="Arial"/>
          <w:sz w:val="24"/>
          <w:szCs w:val="24"/>
        </w:rPr>
        <w:t xml:space="preserve"> J Neurophysiol, 1986. </w:t>
      </w:r>
      <w:r w:rsidRPr="004B75B8">
        <w:rPr>
          <w:rFonts w:ascii="Arial" w:hAnsi="Arial" w:cs="Arial"/>
          <w:b/>
          <w:sz w:val="24"/>
          <w:szCs w:val="24"/>
        </w:rPr>
        <w:t>55</w:t>
      </w:r>
      <w:r w:rsidRPr="004B75B8">
        <w:rPr>
          <w:rFonts w:ascii="Arial" w:hAnsi="Arial" w:cs="Arial"/>
          <w:sz w:val="24"/>
          <w:szCs w:val="24"/>
        </w:rPr>
        <w:t>(6): p. 1187-201.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86.</w:t>
      </w:r>
      <w:r w:rsidRPr="004B75B8">
        <w:rPr>
          <w:rFonts w:ascii="Arial" w:hAnsi="Arial" w:cs="Arial"/>
          <w:sz w:val="24"/>
          <w:szCs w:val="24"/>
        </w:rPr>
        <w:tab/>
        <w:t xml:space="preserve">Huerta, M.F., A. Frankfurter, and J.K. Harting, </w:t>
      </w:r>
      <w:r w:rsidRPr="004B75B8">
        <w:rPr>
          <w:rFonts w:ascii="Arial" w:hAnsi="Arial" w:cs="Arial"/>
          <w:i/>
          <w:sz w:val="24"/>
          <w:szCs w:val="24"/>
        </w:rPr>
        <w:t>Studies of the principal sensory and spinal trigeminal nuclei of the rat: projections to the superior colliculus, inferior olive, and cerebellum.</w:t>
      </w:r>
      <w:r w:rsidRPr="004B75B8">
        <w:rPr>
          <w:rFonts w:ascii="Arial" w:hAnsi="Arial" w:cs="Arial"/>
          <w:sz w:val="24"/>
          <w:szCs w:val="24"/>
        </w:rPr>
        <w:t xml:space="preserve"> J Comp Neurol, 1983. </w:t>
      </w:r>
      <w:r w:rsidRPr="004B75B8">
        <w:rPr>
          <w:rFonts w:ascii="Arial" w:hAnsi="Arial" w:cs="Arial"/>
          <w:b/>
          <w:sz w:val="24"/>
          <w:szCs w:val="24"/>
        </w:rPr>
        <w:t>220</w:t>
      </w:r>
      <w:r w:rsidRPr="004B75B8">
        <w:rPr>
          <w:rFonts w:ascii="Arial" w:hAnsi="Arial" w:cs="Arial"/>
          <w:sz w:val="24"/>
          <w:szCs w:val="24"/>
        </w:rPr>
        <w:t>(2): p. 147-67.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87.</w:t>
      </w:r>
      <w:r w:rsidRPr="004B75B8">
        <w:rPr>
          <w:rFonts w:ascii="Arial" w:hAnsi="Arial" w:cs="Arial"/>
          <w:sz w:val="24"/>
          <w:szCs w:val="24"/>
        </w:rPr>
        <w:tab/>
        <w:t xml:space="preserve">Mantle-St John, L.A. and D.J. Tracey, </w:t>
      </w:r>
      <w:r w:rsidRPr="004B75B8">
        <w:rPr>
          <w:rFonts w:ascii="Arial" w:hAnsi="Arial" w:cs="Arial"/>
          <w:i/>
          <w:sz w:val="24"/>
          <w:szCs w:val="24"/>
        </w:rPr>
        <w:t>Somatosensory nuclei in the brainstem of the rat: independent projections to the thalamus and cerebellum.</w:t>
      </w:r>
      <w:r w:rsidRPr="004B75B8">
        <w:rPr>
          <w:rFonts w:ascii="Arial" w:hAnsi="Arial" w:cs="Arial"/>
          <w:sz w:val="24"/>
          <w:szCs w:val="24"/>
        </w:rPr>
        <w:t xml:space="preserve"> J Comp Neurol, 1987. </w:t>
      </w:r>
      <w:r w:rsidRPr="004B75B8">
        <w:rPr>
          <w:rFonts w:ascii="Arial" w:hAnsi="Arial" w:cs="Arial"/>
          <w:b/>
          <w:sz w:val="24"/>
          <w:szCs w:val="24"/>
        </w:rPr>
        <w:t>255</w:t>
      </w:r>
      <w:r w:rsidRPr="004B75B8">
        <w:rPr>
          <w:rFonts w:ascii="Arial" w:hAnsi="Arial" w:cs="Arial"/>
          <w:sz w:val="24"/>
          <w:szCs w:val="24"/>
        </w:rPr>
        <w:t>(2): p. 259-71.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88.</w:t>
      </w:r>
      <w:r w:rsidRPr="004B75B8">
        <w:rPr>
          <w:rFonts w:ascii="Arial" w:hAnsi="Arial" w:cs="Arial"/>
          <w:sz w:val="24"/>
          <w:szCs w:val="24"/>
        </w:rPr>
        <w:tab/>
        <w:t xml:space="preserve">Bernard, J.F., M. Peschanski, and J.M. Besson, </w:t>
      </w:r>
      <w:r w:rsidRPr="004B75B8">
        <w:rPr>
          <w:rFonts w:ascii="Arial" w:hAnsi="Arial" w:cs="Arial"/>
          <w:i/>
          <w:sz w:val="24"/>
          <w:szCs w:val="24"/>
        </w:rPr>
        <w:t>A possible spino (trigemino)-ponto-amygdaloid pathway for pain.</w:t>
      </w:r>
      <w:r w:rsidRPr="004B75B8">
        <w:rPr>
          <w:rFonts w:ascii="Arial" w:hAnsi="Arial" w:cs="Arial"/>
          <w:sz w:val="24"/>
          <w:szCs w:val="24"/>
        </w:rPr>
        <w:t xml:space="preserve"> Neurosci Lett, 1989. </w:t>
      </w:r>
      <w:r w:rsidRPr="004B75B8">
        <w:rPr>
          <w:rFonts w:ascii="Arial" w:hAnsi="Arial" w:cs="Arial"/>
          <w:b/>
          <w:sz w:val="24"/>
          <w:szCs w:val="24"/>
        </w:rPr>
        <w:t>100</w:t>
      </w:r>
      <w:r w:rsidRPr="004B75B8">
        <w:rPr>
          <w:rFonts w:ascii="Arial" w:hAnsi="Arial" w:cs="Arial"/>
          <w:sz w:val="24"/>
          <w:szCs w:val="24"/>
        </w:rPr>
        <w:t>(1-3): p. 83-8.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89.</w:t>
      </w:r>
      <w:r w:rsidRPr="004B75B8">
        <w:rPr>
          <w:rFonts w:ascii="Arial" w:hAnsi="Arial" w:cs="Arial"/>
          <w:sz w:val="24"/>
          <w:szCs w:val="24"/>
        </w:rPr>
        <w:tab/>
        <w:t xml:space="preserve">Hayashi, H. and T. Tabata, </w:t>
      </w:r>
      <w:r w:rsidRPr="004B75B8">
        <w:rPr>
          <w:rFonts w:ascii="Arial" w:hAnsi="Arial" w:cs="Arial"/>
          <w:i/>
          <w:sz w:val="24"/>
          <w:szCs w:val="24"/>
        </w:rPr>
        <w:t>Pulpal and cutaneous inputs to somatosensory neurons in the parabrachial area of the cat.</w:t>
      </w:r>
      <w:r w:rsidRPr="004B75B8">
        <w:rPr>
          <w:rFonts w:ascii="Arial" w:hAnsi="Arial" w:cs="Arial"/>
          <w:sz w:val="24"/>
          <w:szCs w:val="24"/>
        </w:rPr>
        <w:t xml:space="preserve"> Brain Res, 1990. </w:t>
      </w:r>
      <w:r w:rsidRPr="004B75B8">
        <w:rPr>
          <w:rFonts w:ascii="Arial" w:hAnsi="Arial" w:cs="Arial"/>
          <w:b/>
          <w:sz w:val="24"/>
          <w:szCs w:val="24"/>
        </w:rPr>
        <w:t>511</w:t>
      </w:r>
      <w:r w:rsidRPr="004B75B8">
        <w:rPr>
          <w:rFonts w:ascii="Arial" w:hAnsi="Arial" w:cs="Arial"/>
          <w:sz w:val="24"/>
          <w:szCs w:val="24"/>
        </w:rPr>
        <w:t>(1): p. 177-9.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90.</w:t>
      </w:r>
      <w:r w:rsidRPr="004B75B8">
        <w:rPr>
          <w:rFonts w:ascii="Arial" w:hAnsi="Arial" w:cs="Arial"/>
          <w:sz w:val="24"/>
          <w:szCs w:val="24"/>
        </w:rPr>
        <w:tab/>
        <w:t xml:space="preserve">Craig, A.D., Jr. and H. Burton, </w:t>
      </w:r>
      <w:r w:rsidRPr="004B75B8">
        <w:rPr>
          <w:rFonts w:ascii="Arial" w:hAnsi="Arial" w:cs="Arial"/>
          <w:i/>
          <w:sz w:val="24"/>
          <w:szCs w:val="24"/>
        </w:rPr>
        <w:t>Spinal and medullary lamina I projection to nucleus submedius in medial thalamus: a possible pain center.</w:t>
      </w:r>
      <w:r w:rsidRPr="004B75B8">
        <w:rPr>
          <w:rFonts w:ascii="Arial" w:hAnsi="Arial" w:cs="Arial"/>
          <w:sz w:val="24"/>
          <w:szCs w:val="24"/>
        </w:rPr>
        <w:t xml:space="preserve"> J Neurophysiol, 1981. </w:t>
      </w:r>
      <w:r w:rsidRPr="004B75B8">
        <w:rPr>
          <w:rFonts w:ascii="Arial" w:hAnsi="Arial" w:cs="Arial"/>
          <w:b/>
          <w:sz w:val="24"/>
          <w:szCs w:val="24"/>
        </w:rPr>
        <w:t>45</w:t>
      </w:r>
      <w:r w:rsidRPr="004B75B8">
        <w:rPr>
          <w:rFonts w:ascii="Arial" w:hAnsi="Arial" w:cs="Arial"/>
          <w:sz w:val="24"/>
          <w:szCs w:val="24"/>
        </w:rPr>
        <w:t>(3): p. 443-66.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91.</w:t>
      </w:r>
      <w:r w:rsidRPr="004B75B8">
        <w:rPr>
          <w:rFonts w:ascii="Arial" w:hAnsi="Arial" w:cs="Arial"/>
          <w:sz w:val="24"/>
          <w:szCs w:val="24"/>
        </w:rPr>
        <w:tab/>
        <w:t xml:space="preserve">Peschanski, M., et al., </w:t>
      </w:r>
      <w:r w:rsidRPr="004B75B8">
        <w:rPr>
          <w:rFonts w:ascii="Arial" w:hAnsi="Arial" w:cs="Arial"/>
          <w:i/>
          <w:sz w:val="24"/>
          <w:szCs w:val="24"/>
        </w:rPr>
        <w:t>Ultrastructural analysis of the terminals of various somatosensory pathways in the ventrobasal complex of the rat thalamus: an electron-microscopic study using wheatgerm agglutinin conjugated to horseradish peroxidase as an axonal tracer.</w:t>
      </w:r>
      <w:r w:rsidRPr="004B75B8">
        <w:rPr>
          <w:rFonts w:ascii="Arial" w:hAnsi="Arial" w:cs="Arial"/>
          <w:sz w:val="24"/>
          <w:szCs w:val="24"/>
        </w:rPr>
        <w:t xml:space="preserve"> Somatosens Res, 1985. </w:t>
      </w:r>
      <w:r w:rsidRPr="004B75B8">
        <w:rPr>
          <w:rFonts w:ascii="Arial" w:hAnsi="Arial" w:cs="Arial"/>
          <w:b/>
          <w:sz w:val="24"/>
          <w:szCs w:val="24"/>
        </w:rPr>
        <w:t>3</w:t>
      </w:r>
      <w:r w:rsidRPr="004B75B8">
        <w:rPr>
          <w:rFonts w:ascii="Arial" w:hAnsi="Arial" w:cs="Arial"/>
          <w:sz w:val="24"/>
          <w:szCs w:val="24"/>
        </w:rPr>
        <w:t>(1): p. 75-87.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92.</w:t>
      </w:r>
      <w:r w:rsidRPr="004B75B8">
        <w:rPr>
          <w:rFonts w:ascii="Arial" w:hAnsi="Arial" w:cs="Arial"/>
          <w:sz w:val="24"/>
          <w:szCs w:val="24"/>
        </w:rPr>
        <w:tab/>
        <w:t xml:space="preserve">Shigenaga, Y., et al., </w:t>
      </w:r>
      <w:r w:rsidRPr="004B75B8">
        <w:rPr>
          <w:rFonts w:ascii="Arial" w:hAnsi="Arial" w:cs="Arial"/>
          <w:i/>
          <w:sz w:val="24"/>
          <w:szCs w:val="24"/>
        </w:rPr>
        <w:t>The cells of origin of cat trigeminothalamic projections: especially in the caudal medulla.</w:t>
      </w:r>
      <w:r w:rsidRPr="004B75B8">
        <w:rPr>
          <w:rFonts w:ascii="Arial" w:hAnsi="Arial" w:cs="Arial"/>
          <w:sz w:val="24"/>
          <w:szCs w:val="24"/>
        </w:rPr>
        <w:t xml:space="preserve"> Brain Res, 1983. </w:t>
      </w:r>
      <w:r w:rsidRPr="004B75B8">
        <w:rPr>
          <w:rFonts w:ascii="Arial" w:hAnsi="Arial" w:cs="Arial"/>
          <w:b/>
          <w:sz w:val="24"/>
          <w:szCs w:val="24"/>
        </w:rPr>
        <w:t>277</w:t>
      </w:r>
      <w:r w:rsidRPr="004B75B8">
        <w:rPr>
          <w:rFonts w:ascii="Arial" w:hAnsi="Arial" w:cs="Arial"/>
          <w:sz w:val="24"/>
          <w:szCs w:val="24"/>
        </w:rPr>
        <w:t>(2): p. 201-22.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93.</w:t>
      </w:r>
      <w:r w:rsidRPr="004B75B8">
        <w:rPr>
          <w:rFonts w:ascii="Arial" w:hAnsi="Arial" w:cs="Arial"/>
          <w:sz w:val="24"/>
          <w:szCs w:val="24"/>
        </w:rPr>
        <w:tab/>
        <w:t xml:space="preserve">Goadsby, P.J., et al., </w:t>
      </w:r>
      <w:r w:rsidRPr="004B75B8">
        <w:rPr>
          <w:rFonts w:ascii="Arial" w:hAnsi="Arial" w:cs="Arial"/>
          <w:i/>
          <w:sz w:val="24"/>
          <w:szCs w:val="24"/>
        </w:rPr>
        <w:t>Pathophysiology of Migraine: A Disorder of Sensory Processing.</w:t>
      </w:r>
      <w:r w:rsidRPr="004B75B8">
        <w:rPr>
          <w:rFonts w:ascii="Arial" w:hAnsi="Arial" w:cs="Arial"/>
          <w:sz w:val="24"/>
          <w:szCs w:val="24"/>
        </w:rPr>
        <w:t xml:space="preserve"> Physiol Rev, 2017. </w:t>
      </w:r>
      <w:r w:rsidRPr="004B75B8">
        <w:rPr>
          <w:rFonts w:ascii="Arial" w:hAnsi="Arial" w:cs="Arial"/>
          <w:b/>
          <w:sz w:val="24"/>
          <w:szCs w:val="24"/>
        </w:rPr>
        <w:t>97</w:t>
      </w:r>
      <w:r w:rsidRPr="004B75B8">
        <w:rPr>
          <w:rFonts w:ascii="Arial" w:hAnsi="Arial" w:cs="Arial"/>
          <w:sz w:val="24"/>
          <w:szCs w:val="24"/>
        </w:rPr>
        <w:t>(2): p. 553-622.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94.</w:t>
      </w:r>
      <w:r w:rsidRPr="004B75B8">
        <w:rPr>
          <w:rFonts w:ascii="Arial" w:hAnsi="Arial" w:cs="Arial"/>
          <w:sz w:val="24"/>
          <w:szCs w:val="24"/>
        </w:rPr>
        <w:tab/>
        <w:t xml:space="preserve">Goadsby, P.J., L. Edvinsson, and R. Ekman, </w:t>
      </w:r>
      <w:r w:rsidRPr="004B75B8">
        <w:rPr>
          <w:rFonts w:ascii="Arial" w:hAnsi="Arial" w:cs="Arial"/>
          <w:i/>
          <w:sz w:val="24"/>
          <w:szCs w:val="24"/>
        </w:rPr>
        <w:t>Release of vasoactive peptides in the extracerebral circulation of humans and the cat during activation of the trigeminovascular system.</w:t>
      </w:r>
      <w:r w:rsidRPr="004B75B8">
        <w:rPr>
          <w:rFonts w:ascii="Arial" w:hAnsi="Arial" w:cs="Arial"/>
          <w:sz w:val="24"/>
          <w:szCs w:val="24"/>
        </w:rPr>
        <w:t xml:space="preserve"> Ann Neurol, 1988. </w:t>
      </w:r>
      <w:r w:rsidRPr="004B75B8">
        <w:rPr>
          <w:rFonts w:ascii="Arial" w:hAnsi="Arial" w:cs="Arial"/>
          <w:b/>
          <w:sz w:val="24"/>
          <w:szCs w:val="24"/>
        </w:rPr>
        <w:t>23</w:t>
      </w:r>
      <w:r w:rsidRPr="004B75B8">
        <w:rPr>
          <w:rFonts w:ascii="Arial" w:hAnsi="Arial" w:cs="Arial"/>
          <w:sz w:val="24"/>
          <w:szCs w:val="24"/>
        </w:rPr>
        <w:t>(2): p. 193-6.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95.</w:t>
      </w:r>
      <w:r w:rsidRPr="004B75B8">
        <w:rPr>
          <w:rFonts w:ascii="Arial" w:hAnsi="Arial" w:cs="Arial"/>
          <w:sz w:val="24"/>
          <w:szCs w:val="24"/>
        </w:rPr>
        <w:tab/>
        <w:t xml:space="preserve">Burstein, R., </w:t>
      </w:r>
      <w:r w:rsidRPr="004B75B8">
        <w:rPr>
          <w:rFonts w:ascii="Arial" w:hAnsi="Arial" w:cs="Arial"/>
          <w:i/>
          <w:sz w:val="24"/>
          <w:szCs w:val="24"/>
        </w:rPr>
        <w:t>Deconstructing migraine headache into peripheral and central sensitization.</w:t>
      </w:r>
      <w:r w:rsidRPr="004B75B8">
        <w:rPr>
          <w:rFonts w:ascii="Arial" w:hAnsi="Arial" w:cs="Arial"/>
          <w:sz w:val="24"/>
          <w:szCs w:val="24"/>
        </w:rPr>
        <w:t xml:space="preserve"> Pain, 2001. </w:t>
      </w:r>
      <w:r w:rsidRPr="004B75B8">
        <w:rPr>
          <w:rFonts w:ascii="Arial" w:hAnsi="Arial" w:cs="Arial"/>
          <w:b/>
          <w:sz w:val="24"/>
          <w:szCs w:val="24"/>
        </w:rPr>
        <w:t>89</w:t>
      </w:r>
      <w:r w:rsidRPr="004B75B8">
        <w:rPr>
          <w:rFonts w:ascii="Arial" w:hAnsi="Arial" w:cs="Arial"/>
          <w:sz w:val="24"/>
          <w:szCs w:val="24"/>
        </w:rPr>
        <w:t>(2-3): p. 107-10.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96.</w:t>
      </w:r>
      <w:r w:rsidRPr="004B75B8">
        <w:rPr>
          <w:rFonts w:ascii="Arial" w:hAnsi="Arial" w:cs="Arial"/>
          <w:sz w:val="24"/>
          <w:szCs w:val="24"/>
        </w:rPr>
        <w:tab/>
        <w:t xml:space="preserve">Kaube, H., et al., </w:t>
      </w:r>
      <w:r w:rsidRPr="004B75B8">
        <w:rPr>
          <w:rFonts w:ascii="Arial" w:hAnsi="Arial" w:cs="Arial"/>
          <w:i/>
          <w:sz w:val="24"/>
          <w:szCs w:val="24"/>
        </w:rPr>
        <w:t>Acute migraine headache: possible sensitization of neurons in the spinal trigeminal nucleus?</w:t>
      </w:r>
      <w:r w:rsidRPr="004B75B8">
        <w:rPr>
          <w:rFonts w:ascii="Arial" w:hAnsi="Arial" w:cs="Arial"/>
          <w:sz w:val="24"/>
          <w:szCs w:val="24"/>
        </w:rPr>
        <w:t xml:space="preserve"> Neurology, 2002. </w:t>
      </w:r>
      <w:r w:rsidRPr="004B75B8">
        <w:rPr>
          <w:rFonts w:ascii="Arial" w:hAnsi="Arial" w:cs="Arial"/>
          <w:b/>
          <w:sz w:val="24"/>
          <w:szCs w:val="24"/>
        </w:rPr>
        <w:t>58</w:t>
      </w:r>
      <w:r w:rsidRPr="004B75B8">
        <w:rPr>
          <w:rFonts w:ascii="Arial" w:hAnsi="Arial" w:cs="Arial"/>
          <w:sz w:val="24"/>
          <w:szCs w:val="24"/>
        </w:rPr>
        <w:t>(8): p. 1234-8.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97.</w:t>
      </w:r>
      <w:r w:rsidRPr="004B75B8">
        <w:rPr>
          <w:rFonts w:ascii="Arial" w:hAnsi="Arial" w:cs="Arial"/>
          <w:sz w:val="24"/>
          <w:szCs w:val="24"/>
        </w:rPr>
        <w:tab/>
        <w:t xml:space="preserve">Strassman, A.M., S.A. Raymond, and R. Burstein, </w:t>
      </w:r>
      <w:r w:rsidRPr="004B75B8">
        <w:rPr>
          <w:rFonts w:ascii="Arial" w:hAnsi="Arial" w:cs="Arial"/>
          <w:i/>
          <w:sz w:val="24"/>
          <w:szCs w:val="24"/>
        </w:rPr>
        <w:t>Sensitization of meningeal sensory neurons and the origin of headaches.</w:t>
      </w:r>
      <w:r w:rsidRPr="004B75B8">
        <w:rPr>
          <w:rFonts w:ascii="Arial" w:hAnsi="Arial" w:cs="Arial"/>
          <w:sz w:val="24"/>
          <w:szCs w:val="24"/>
        </w:rPr>
        <w:t xml:space="preserve"> Nature, 1996. </w:t>
      </w:r>
      <w:r w:rsidRPr="004B75B8">
        <w:rPr>
          <w:rFonts w:ascii="Arial" w:hAnsi="Arial" w:cs="Arial"/>
          <w:b/>
          <w:sz w:val="24"/>
          <w:szCs w:val="24"/>
        </w:rPr>
        <w:t>384</w:t>
      </w:r>
      <w:r w:rsidRPr="004B75B8">
        <w:rPr>
          <w:rFonts w:ascii="Arial" w:hAnsi="Arial" w:cs="Arial"/>
          <w:sz w:val="24"/>
          <w:szCs w:val="24"/>
        </w:rPr>
        <w:t>(6609): p. 560-4.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98.</w:t>
      </w:r>
      <w:r w:rsidRPr="004B75B8">
        <w:rPr>
          <w:rFonts w:ascii="Arial" w:hAnsi="Arial" w:cs="Arial"/>
          <w:sz w:val="24"/>
          <w:szCs w:val="24"/>
        </w:rPr>
        <w:tab/>
        <w:t xml:space="preserve">Nagata, E., et al., </w:t>
      </w:r>
      <w:r w:rsidRPr="004B75B8">
        <w:rPr>
          <w:rFonts w:ascii="Arial" w:hAnsi="Arial" w:cs="Arial"/>
          <w:i/>
          <w:sz w:val="24"/>
          <w:szCs w:val="24"/>
        </w:rPr>
        <w:t>The middle meningial artery during a migraine attack: 3T magnetic resonance angiography study.</w:t>
      </w:r>
      <w:r w:rsidRPr="004B75B8">
        <w:rPr>
          <w:rFonts w:ascii="Arial" w:hAnsi="Arial" w:cs="Arial"/>
          <w:sz w:val="24"/>
          <w:szCs w:val="24"/>
        </w:rPr>
        <w:t xml:space="preserve"> Intern Med, 2009. </w:t>
      </w:r>
      <w:r w:rsidRPr="004B75B8">
        <w:rPr>
          <w:rFonts w:ascii="Arial" w:hAnsi="Arial" w:cs="Arial"/>
          <w:b/>
          <w:sz w:val="24"/>
          <w:szCs w:val="24"/>
        </w:rPr>
        <w:t>48</w:t>
      </w:r>
      <w:r w:rsidRPr="004B75B8">
        <w:rPr>
          <w:rFonts w:ascii="Arial" w:hAnsi="Arial" w:cs="Arial"/>
          <w:sz w:val="24"/>
          <w:szCs w:val="24"/>
        </w:rPr>
        <w:t>(24): p. 2133-5.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99.</w:t>
      </w:r>
      <w:r w:rsidRPr="004B75B8">
        <w:rPr>
          <w:rFonts w:ascii="Arial" w:hAnsi="Arial" w:cs="Arial"/>
          <w:sz w:val="24"/>
          <w:szCs w:val="24"/>
        </w:rPr>
        <w:tab/>
        <w:t xml:space="preserve">Schoonman, G.G., et al., </w:t>
      </w:r>
      <w:r w:rsidRPr="004B75B8">
        <w:rPr>
          <w:rFonts w:ascii="Arial" w:hAnsi="Arial" w:cs="Arial"/>
          <w:i/>
          <w:sz w:val="24"/>
          <w:szCs w:val="24"/>
        </w:rPr>
        <w:t>Migraine headache is not associated with cerebral or meningeal vasodilatation--a 3T magnetic resonance angiography study.</w:t>
      </w:r>
      <w:r w:rsidRPr="004B75B8">
        <w:rPr>
          <w:rFonts w:ascii="Arial" w:hAnsi="Arial" w:cs="Arial"/>
          <w:sz w:val="24"/>
          <w:szCs w:val="24"/>
        </w:rPr>
        <w:t xml:space="preserve"> Brain, 2008. </w:t>
      </w:r>
      <w:r w:rsidRPr="004B75B8">
        <w:rPr>
          <w:rFonts w:ascii="Arial" w:hAnsi="Arial" w:cs="Arial"/>
          <w:b/>
          <w:sz w:val="24"/>
          <w:szCs w:val="24"/>
        </w:rPr>
        <w:t>131</w:t>
      </w:r>
      <w:r w:rsidRPr="004B75B8">
        <w:rPr>
          <w:rFonts w:ascii="Arial" w:hAnsi="Arial" w:cs="Arial"/>
          <w:sz w:val="24"/>
          <w:szCs w:val="24"/>
        </w:rPr>
        <w:t>(Pt 8): p. 2192-200.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100.</w:t>
      </w:r>
      <w:r w:rsidRPr="004B75B8">
        <w:rPr>
          <w:rFonts w:ascii="Arial" w:hAnsi="Arial" w:cs="Arial"/>
          <w:sz w:val="24"/>
          <w:szCs w:val="24"/>
        </w:rPr>
        <w:tab/>
        <w:t xml:space="preserve">Asghar, M.S., et al., </w:t>
      </w:r>
      <w:r w:rsidRPr="004B75B8">
        <w:rPr>
          <w:rFonts w:ascii="Arial" w:hAnsi="Arial" w:cs="Arial"/>
          <w:i/>
          <w:sz w:val="24"/>
          <w:szCs w:val="24"/>
        </w:rPr>
        <w:t>Evidence for a vascular factor in migraine.</w:t>
      </w:r>
      <w:r w:rsidRPr="004B75B8">
        <w:rPr>
          <w:rFonts w:ascii="Arial" w:hAnsi="Arial" w:cs="Arial"/>
          <w:sz w:val="24"/>
          <w:szCs w:val="24"/>
        </w:rPr>
        <w:t xml:space="preserve"> Ann Neurol, 2011. </w:t>
      </w:r>
      <w:r w:rsidRPr="004B75B8">
        <w:rPr>
          <w:rFonts w:ascii="Arial" w:hAnsi="Arial" w:cs="Arial"/>
          <w:b/>
          <w:sz w:val="24"/>
          <w:szCs w:val="24"/>
        </w:rPr>
        <w:t>69</w:t>
      </w:r>
      <w:r w:rsidRPr="004B75B8">
        <w:rPr>
          <w:rFonts w:ascii="Arial" w:hAnsi="Arial" w:cs="Arial"/>
          <w:sz w:val="24"/>
          <w:szCs w:val="24"/>
        </w:rPr>
        <w:t>(4): p. 635-45.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101.</w:t>
      </w:r>
      <w:r w:rsidRPr="004B75B8">
        <w:rPr>
          <w:rFonts w:ascii="Arial" w:hAnsi="Arial" w:cs="Arial"/>
          <w:sz w:val="24"/>
          <w:szCs w:val="24"/>
        </w:rPr>
        <w:tab/>
        <w:t xml:space="preserve">Schytz, H.W., G.G. Schoonman, and M. Ashina, </w:t>
      </w:r>
      <w:r w:rsidRPr="004B75B8">
        <w:rPr>
          <w:rFonts w:ascii="Arial" w:hAnsi="Arial" w:cs="Arial"/>
          <w:i/>
          <w:sz w:val="24"/>
          <w:szCs w:val="24"/>
        </w:rPr>
        <w:t>What have we learnt from triggering migraine?</w:t>
      </w:r>
      <w:r w:rsidRPr="004B75B8">
        <w:rPr>
          <w:rFonts w:ascii="Arial" w:hAnsi="Arial" w:cs="Arial"/>
          <w:sz w:val="24"/>
          <w:szCs w:val="24"/>
        </w:rPr>
        <w:t xml:space="preserve"> Curr Opin Neurol, 2010. </w:t>
      </w:r>
      <w:r w:rsidRPr="004B75B8">
        <w:rPr>
          <w:rFonts w:ascii="Arial" w:hAnsi="Arial" w:cs="Arial"/>
          <w:b/>
          <w:sz w:val="24"/>
          <w:szCs w:val="24"/>
        </w:rPr>
        <w:t>23</w:t>
      </w:r>
      <w:r w:rsidRPr="004B75B8">
        <w:rPr>
          <w:rFonts w:ascii="Arial" w:hAnsi="Arial" w:cs="Arial"/>
          <w:sz w:val="24"/>
          <w:szCs w:val="24"/>
        </w:rPr>
        <w:t>(3): p. 259-65.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102.</w:t>
      </w:r>
      <w:r w:rsidRPr="004B75B8">
        <w:rPr>
          <w:rFonts w:ascii="Arial" w:hAnsi="Arial" w:cs="Arial"/>
          <w:sz w:val="24"/>
          <w:szCs w:val="24"/>
        </w:rPr>
        <w:tab/>
        <w:t xml:space="preserve">Antonova, M., et al., </w:t>
      </w:r>
      <w:r w:rsidRPr="004B75B8">
        <w:rPr>
          <w:rFonts w:ascii="Arial" w:hAnsi="Arial" w:cs="Arial"/>
          <w:i/>
          <w:sz w:val="24"/>
          <w:szCs w:val="24"/>
        </w:rPr>
        <w:t>Prostaglandin E(2) induces immediate migraine-like attack in migraine patients without aura.</w:t>
      </w:r>
      <w:r w:rsidRPr="004B75B8">
        <w:rPr>
          <w:rFonts w:ascii="Arial" w:hAnsi="Arial" w:cs="Arial"/>
          <w:sz w:val="24"/>
          <w:szCs w:val="24"/>
        </w:rPr>
        <w:t xml:space="preserve"> Cephalalgia, 2012. </w:t>
      </w:r>
      <w:r w:rsidRPr="004B75B8">
        <w:rPr>
          <w:rFonts w:ascii="Arial" w:hAnsi="Arial" w:cs="Arial"/>
          <w:b/>
          <w:sz w:val="24"/>
          <w:szCs w:val="24"/>
        </w:rPr>
        <w:t>32</w:t>
      </w:r>
      <w:r w:rsidRPr="004B75B8">
        <w:rPr>
          <w:rFonts w:ascii="Arial" w:hAnsi="Arial" w:cs="Arial"/>
          <w:sz w:val="24"/>
          <w:szCs w:val="24"/>
        </w:rPr>
        <w:t>(11): p. 822-33.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103.</w:t>
      </w:r>
      <w:r w:rsidRPr="004B75B8">
        <w:rPr>
          <w:rFonts w:ascii="Arial" w:hAnsi="Arial" w:cs="Arial"/>
          <w:sz w:val="24"/>
          <w:szCs w:val="24"/>
        </w:rPr>
        <w:tab/>
        <w:t xml:space="preserve">Benarroch, E.E., </w:t>
      </w:r>
      <w:r w:rsidRPr="004B75B8">
        <w:rPr>
          <w:rFonts w:ascii="Arial" w:hAnsi="Arial" w:cs="Arial"/>
          <w:i/>
          <w:sz w:val="24"/>
          <w:szCs w:val="24"/>
        </w:rPr>
        <w:t>CGRP: sensory neuropeptide with multiple neurologic implications.</w:t>
      </w:r>
      <w:r w:rsidRPr="004B75B8">
        <w:rPr>
          <w:rFonts w:ascii="Arial" w:hAnsi="Arial" w:cs="Arial"/>
          <w:sz w:val="24"/>
          <w:szCs w:val="24"/>
        </w:rPr>
        <w:t xml:space="preserve"> Neurology, 2011. </w:t>
      </w:r>
      <w:r w:rsidRPr="004B75B8">
        <w:rPr>
          <w:rFonts w:ascii="Arial" w:hAnsi="Arial" w:cs="Arial"/>
          <w:b/>
          <w:sz w:val="24"/>
          <w:szCs w:val="24"/>
        </w:rPr>
        <w:t>77</w:t>
      </w:r>
      <w:r w:rsidRPr="004B75B8">
        <w:rPr>
          <w:rFonts w:ascii="Arial" w:hAnsi="Arial" w:cs="Arial"/>
          <w:sz w:val="24"/>
          <w:szCs w:val="24"/>
        </w:rPr>
        <w:t>(3): p. 281-7.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104.</w:t>
      </w:r>
      <w:r w:rsidRPr="004B75B8">
        <w:rPr>
          <w:rFonts w:ascii="Arial" w:hAnsi="Arial" w:cs="Arial"/>
          <w:sz w:val="24"/>
          <w:szCs w:val="24"/>
        </w:rPr>
        <w:tab/>
        <w:t xml:space="preserve">Connor, K.M., et al., </w:t>
      </w:r>
      <w:r w:rsidRPr="004B75B8">
        <w:rPr>
          <w:rFonts w:ascii="Arial" w:hAnsi="Arial" w:cs="Arial"/>
          <w:i/>
          <w:sz w:val="24"/>
          <w:szCs w:val="24"/>
        </w:rPr>
        <w:t>Randomized, controlled trial of telcagepant for the acute treatment of migraine.</w:t>
      </w:r>
      <w:r w:rsidRPr="004B75B8">
        <w:rPr>
          <w:rFonts w:ascii="Arial" w:hAnsi="Arial" w:cs="Arial"/>
          <w:sz w:val="24"/>
          <w:szCs w:val="24"/>
        </w:rPr>
        <w:t xml:space="preserve"> Neurology, 2009. </w:t>
      </w:r>
      <w:r w:rsidRPr="004B75B8">
        <w:rPr>
          <w:rFonts w:ascii="Arial" w:hAnsi="Arial" w:cs="Arial"/>
          <w:b/>
          <w:sz w:val="24"/>
          <w:szCs w:val="24"/>
        </w:rPr>
        <w:t>73</w:t>
      </w:r>
      <w:r w:rsidRPr="004B75B8">
        <w:rPr>
          <w:rFonts w:ascii="Arial" w:hAnsi="Arial" w:cs="Arial"/>
          <w:sz w:val="24"/>
          <w:szCs w:val="24"/>
        </w:rPr>
        <w:t>(12): p. 970-7.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105.</w:t>
      </w:r>
      <w:r w:rsidRPr="004B75B8">
        <w:rPr>
          <w:rFonts w:ascii="Arial" w:hAnsi="Arial" w:cs="Arial"/>
          <w:sz w:val="24"/>
          <w:szCs w:val="24"/>
        </w:rPr>
        <w:tab/>
        <w:t xml:space="preserve">Ho, T.W., et al., </w:t>
      </w:r>
      <w:r w:rsidRPr="004B75B8">
        <w:rPr>
          <w:rFonts w:ascii="Arial" w:hAnsi="Arial" w:cs="Arial"/>
          <w:i/>
          <w:sz w:val="24"/>
          <w:szCs w:val="24"/>
        </w:rPr>
        <w:t>Efficacy and tolerability of MK-0974 (telcagepant), a new oral antagonist of calcitonin gene-related peptide receptor, compared with zolmitriptan for acute migraine: a randomised, placebo-controlled, parallel-treatment trial.</w:t>
      </w:r>
      <w:r w:rsidRPr="004B75B8">
        <w:rPr>
          <w:rFonts w:ascii="Arial" w:hAnsi="Arial" w:cs="Arial"/>
          <w:sz w:val="24"/>
          <w:szCs w:val="24"/>
        </w:rPr>
        <w:t xml:space="preserve"> Lancet, 2008. </w:t>
      </w:r>
      <w:r w:rsidRPr="004B75B8">
        <w:rPr>
          <w:rFonts w:ascii="Arial" w:hAnsi="Arial" w:cs="Arial"/>
          <w:b/>
          <w:sz w:val="24"/>
          <w:szCs w:val="24"/>
        </w:rPr>
        <w:t>372</w:t>
      </w:r>
      <w:r w:rsidRPr="004B75B8">
        <w:rPr>
          <w:rFonts w:ascii="Arial" w:hAnsi="Arial" w:cs="Arial"/>
          <w:sz w:val="24"/>
          <w:szCs w:val="24"/>
        </w:rPr>
        <w:t>(9656): p. 2115-23.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106.</w:t>
      </w:r>
      <w:r w:rsidRPr="004B75B8">
        <w:rPr>
          <w:rFonts w:ascii="Arial" w:hAnsi="Arial" w:cs="Arial"/>
          <w:sz w:val="24"/>
          <w:szCs w:val="24"/>
        </w:rPr>
        <w:tab/>
        <w:t xml:space="preserve">Ho, T.W., et al., </w:t>
      </w:r>
      <w:r w:rsidRPr="004B75B8">
        <w:rPr>
          <w:rFonts w:ascii="Arial" w:hAnsi="Arial" w:cs="Arial"/>
          <w:i/>
          <w:sz w:val="24"/>
          <w:szCs w:val="24"/>
        </w:rPr>
        <w:t>Randomized controlled trial of an oral CGRP receptor antagonist, MK-0974, in acute treatment of migraine.</w:t>
      </w:r>
      <w:r w:rsidRPr="004B75B8">
        <w:rPr>
          <w:rFonts w:ascii="Arial" w:hAnsi="Arial" w:cs="Arial"/>
          <w:sz w:val="24"/>
          <w:szCs w:val="24"/>
        </w:rPr>
        <w:t xml:space="preserve"> Neurology, 2008. </w:t>
      </w:r>
      <w:r w:rsidRPr="004B75B8">
        <w:rPr>
          <w:rFonts w:ascii="Arial" w:hAnsi="Arial" w:cs="Arial"/>
          <w:b/>
          <w:sz w:val="24"/>
          <w:szCs w:val="24"/>
        </w:rPr>
        <w:t>70</w:t>
      </w:r>
      <w:r w:rsidRPr="004B75B8">
        <w:rPr>
          <w:rFonts w:ascii="Arial" w:hAnsi="Arial" w:cs="Arial"/>
          <w:sz w:val="24"/>
          <w:szCs w:val="24"/>
        </w:rPr>
        <w:t>(16): p. 1304-12.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107.</w:t>
      </w:r>
      <w:r w:rsidRPr="004B75B8">
        <w:rPr>
          <w:rFonts w:ascii="Arial" w:hAnsi="Arial" w:cs="Arial"/>
          <w:sz w:val="24"/>
          <w:szCs w:val="24"/>
        </w:rPr>
        <w:tab/>
        <w:t xml:space="preserve">Olesen, J., et al., </w:t>
      </w:r>
      <w:r w:rsidRPr="004B75B8">
        <w:rPr>
          <w:rFonts w:ascii="Arial" w:hAnsi="Arial" w:cs="Arial"/>
          <w:i/>
          <w:sz w:val="24"/>
          <w:szCs w:val="24"/>
        </w:rPr>
        <w:t>Calcitonin gene-related peptide receptor antagonist BIBN 4096 BS for the acute treatment of migraine.</w:t>
      </w:r>
      <w:r w:rsidRPr="004B75B8">
        <w:rPr>
          <w:rFonts w:ascii="Arial" w:hAnsi="Arial" w:cs="Arial"/>
          <w:sz w:val="24"/>
          <w:szCs w:val="24"/>
        </w:rPr>
        <w:t xml:space="preserve"> N Engl J Med, 2004. </w:t>
      </w:r>
      <w:r w:rsidRPr="004B75B8">
        <w:rPr>
          <w:rFonts w:ascii="Arial" w:hAnsi="Arial" w:cs="Arial"/>
          <w:b/>
          <w:sz w:val="24"/>
          <w:szCs w:val="24"/>
        </w:rPr>
        <w:t>350</w:t>
      </w:r>
      <w:r w:rsidRPr="004B75B8">
        <w:rPr>
          <w:rFonts w:ascii="Arial" w:hAnsi="Arial" w:cs="Arial"/>
          <w:sz w:val="24"/>
          <w:szCs w:val="24"/>
        </w:rPr>
        <w:t>(11): p. 1104-10.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108.</w:t>
      </w:r>
      <w:r w:rsidRPr="004B75B8">
        <w:rPr>
          <w:rFonts w:ascii="Arial" w:hAnsi="Arial" w:cs="Arial"/>
          <w:sz w:val="24"/>
          <w:szCs w:val="24"/>
        </w:rPr>
        <w:tab/>
        <w:t xml:space="preserve">Negro, A., et al., </w:t>
      </w:r>
      <w:r w:rsidRPr="004B75B8">
        <w:rPr>
          <w:rFonts w:ascii="Arial" w:hAnsi="Arial" w:cs="Arial"/>
          <w:i/>
          <w:sz w:val="24"/>
          <w:szCs w:val="24"/>
        </w:rPr>
        <w:t>CGRP receptor antagonists: an expanding drug class for acute migraine?</w:t>
      </w:r>
      <w:r w:rsidRPr="004B75B8">
        <w:rPr>
          <w:rFonts w:ascii="Arial" w:hAnsi="Arial" w:cs="Arial"/>
          <w:sz w:val="24"/>
          <w:szCs w:val="24"/>
        </w:rPr>
        <w:t xml:space="preserve"> Expert Opin Investig Drugs, 2012. </w:t>
      </w:r>
      <w:r w:rsidRPr="004B75B8">
        <w:rPr>
          <w:rFonts w:ascii="Arial" w:hAnsi="Arial" w:cs="Arial"/>
          <w:b/>
          <w:sz w:val="24"/>
          <w:szCs w:val="24"/>
        </w:rPr>
        <w:t>21</w:t>
      </w:r>
      <w:r w:rsidRPr="004B75B8">
        <w:rPr>
          <w:rFonts w:ascii="Arial" w:hAnsi="Arial" w:cs="Arial"/>
          <w:sz w:val="24"/>
          <w:szCs w:val="24"/>
        </w:rPr>
        <w:t>(6): p. 807-18.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109.</w:t>
      </w:r>
      <w:r w:rsidRPr="004B75B8">
        <w:rPr>
          <w:rFonts w:ascii="Arial" w:hAnsi="Arial" w:cs="Arial"/>
          <w:sz w:val="24"/>
          <w:szCs w:val="24"/>
        </w:rPr>
        <w:tab/>
        <w:t xml:space="preserve">Bigal, M.E., et al., </w:t>
      </w:r>
      <w:r w:rsidRPr="004B75B8">
        <w:rPr>
          <w:rFonts w:ascii="Arial" w:hAnsi="Arial" w:cs="Arial"/>
          <w:i/>
          <w:sz w:val="24"/>
          <w:szCs w:val="24"/>
        </w:rPr>
        <w:t>Safety, tolerability, and efficacy of TEV-48125 for preventive treatment of high-frequency episodic migraine: a multicentre, randomised, double-blind, placebo-controlled, phase 2b study.</w:t>
      </w:r>
      <w:r w:rsidRPr="004B75B8">
        <w:rPr>
          <w:rFonts w:ascii="Arial" w:hAnsi="Arial" w:cs="Arial"/>
          <w:sz w:val="24"/>
          <w:szCs w:val="24"/>
        </w:rPr>
        <w:t xml:space="preserve"> Lancet Neurol, 2015. </w:t>
      </w:r>
      <w:r w:rsidRPr="004B75B8">
        <w:rPr>
          <w:rFonts w:ascii="Arial" w:hAnsi="Arial" w:cs="Arial"/>
          <w:b/>
          <w:sz w:val="24"/>
          <w:szCs w:val="24"/>
        </w:rPr>
        <w:t>14</w:t>
      </w:r>
      <w:r w:rsidRPr="004B75B8">
        <w:rPr>
          <w:rFonts w:ascii="Arial" w:hAnsi="Arial" w:cs="Arial"/>
          <w:sz w:val="24"/>
          <w:szCs w:val="24"/>
        </w:rPr>
        <w:t>(11): p. 1081-90.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110.</w:t>
      </w:r>
      <w:r w:rsidRPr="004B75B8">
        <w:rPr>
          <w:rFonts w:ascii="Arial" w:hAnsi="Arial" w:cs="Arial"/>
          <w:sz w:val="24"/>
          <w:szCs w:val="24"/>
        </w:rPr>
        <w:tab/>
        <w:t xml:space="preserve">Dodick, D.W., et al., </w:t>
      </w:r>
      <w:r w:rsidRPr="004B75B8">
        <w:rPr>
          <w:rFonts w:ascii="Arial" w:hAnsi="Arial" w:cs="Arial"/>
          <w:i/>
          <w:sz w:val="24"/>
          <w:szCs w:val="24"/>
        </w:rPr>
        <w:t>Safety and efficacy of ALD403, an antibody to calcitonin gene-related peptide, for the prevention of frequent episodic migraine: a randomised, double-blind, placebo-controlled, exploratory phase 2 trial.</w:t>
      </w:r>
      <w:r w:rsidRPr="004B75B8">
        <w:rPr>
          <w:rFonts w:ascii="Arial" w:hAnsi="Arial" w:cs="Arial"/>
          <w:sz w:val="24"/>
          <w:szCs w:val="24"/>
        </w:rPr>
        <w:t xml:space="preserve"> Lancet Neurol, 2014. </w:t>
      </w:r>
      <w:r w:rsidRPr="004B75B8">
        <w:rPr>
          <w:rFonts w:ascii="Arial" w:hAnsi="Arial" w:cs="Arial"/>
          <w:b/>
          <w:sz w:val="24"/>
          <w:szCs w:val="24"/>
        </w:rPr>
        <w:t>13</w:t>
      </w:r>
      <w:r w:rsidRPr="004B75B8">
        <w:rPr>
          <w:rFonts w:ascii="Arial" w:hAnsi="Arial" w:cs="Arial"/>
          <w:sz w:val="24"/>
          <w:szCs w:val="24"/>
        </w:rPr>
        <w:t>(11): p. 1100-7.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111.</w:t>
      </w:r>
      <w:r w:rsidRPr="004B75B8">
        <w:rPr>
          <w:rFonts w:ascii="Arial" w:hAnsi="Arial" w:cs="Arial"/>
          <w:sz w:val="24"/>
          <w:szCs w:val="24"/>
        </w:rPr>
        <w:tab/>
        <w:t xml:space="preserve">Dodick, D.W., et al., </w:t>
      </w:r>
      <w:r w:rsidRPr="004B75B8">
        <w:rPr>
          <w:rFonts w:ascii="Arial" w:hAnsi="Arial" w:cs="Arial"/>
          <w:i/>
          <w:sz w:val="24"/>
          <w:szCs w:val="24"/>
        </w:rPr>
        <w:t>Safety and efficacy of LY2951742, a monoclonal antibody to calcitonin gene-related peptide, for the prevention of migraine: a phase 2, randomised, double-blind, placebo-controlled study.</w:t>
      </w:r>
      <w:r w:rsidRPr="004B75B8">
        <w:rPr>
          <w:rFonts w:ascii="Arial" w:hAnsi="Arial" w:cs="Arial"/>
          <w:sz w:val="24"/>
          <w:szCs w:val="24"/>
        </w:rPr>
        <w:t xml:space="preserve"> Lancet Neurol, 2014. </w:t>
      </w:r>
      <w:r w:rsidRPr="004B75B8">
        <w:rPr>
          <w:rFonts w:ascii="Arial" w:hAnsi="Arial" w:cs="Arial"/>
          <w:b/>
          <w:sz w:val="24"/>
          <w:szCs w:val="24"/>
        </w:rPr>
        <w:t>13</w:t>
      </w:r>
      <w:r w:rsidRPr="004B75B8">
        <w:rPr>
          <w:rFonts w:ascii="Arial" w:hAnsi="Arial" w:cs="Arial"/>
          <w:sz w:val="24"/>
          <w:szCs w:val="24"/>
        </w:rPr>
        <w:t>(9): p. 885-92.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112.</w:t>
      </w:r>
      <w:r w:rsidRPr="004B75B8">
        <w:rPr>
          <w:rFonts w:ascii="Arial" w:hAnsi="Arial" w:cs="Arial"/>
          <w:sz w:val="24"/>
          <w:szCs w:val="24"/>
        </w:rPr>
        <w:tab/>
        <w:t xml:space="preserve">Sun, H., et al., </w:t>
      </w:r>
      <w:r w:rsidRPr="004B75B8">
        <w:rPr>
          <w:rFonts w:ascii="Arial" w:hAnsi="Arial" w:cs="Arial"/>
          <w:i/>
          <w:sz w:val="24"/>
          <w:szCs w:val="24"/>
        </w:rPr>
        <w:t>Safety and efficacy of AMG 334 for prevention of episodic migraine: a randomised, double-blind, placebo-controlled, phase 2 trial.</w:t>
      </w:r>
      <w:r w:rsidRPr="004B75B8">
        <w:rPr>
          <w:rFonts w:ascii="Arial" w:hAnsi="Arial" w:cs="Arial"/>
          <w:sz w:val="24"/>
          <w:szCs w:val="24"/>
        </w:rPr>
        <w:t xml:space="preserve"> Lancet Neurol, 2016. </w:t>
      </w:r>
      <w:r w:rsidRPr="004B75B8">
        <w:rPr>
          <w:rFonts w:ascii="Arial" w:hAnsi="Arial" w:cs="Arial"/>
          <w:b/>
          <w:sz w:val="24"/>
          <w:szCs w:val="24"/>
        </w:rPr>
        <w:t>15</w:t>
      </w:r>
      <w:r w:rsidRPr="004B75B8">
        <w:rPr>
          <w:rFonts w:ascii="Arial" w:hAnsi="Arial" w:cs="Arial"/>
          <w:sz w:val="24"/>
          <w:szCs w:val="24"/>
        </w:rPr>
        <w:t>(4): p. 382-90.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113.</w:t>
      </w:r>
      <w:r w:rsidRPr="004B75B8">
        <w:rPr>
          <w:rFonts w:ascii="Arial" w:hAnsi="Arial" w:cs="Arial"/>
          <w:sz w:val="24"/>
          <w:szCs w:val="24"/>
        </w:rPr>
        <w:tab/>
        <w:t xml:space="preserve">Deen, M., et al., </w:t>
      </w:r>
      <w:r w:rsidRPr="004B75B8">
        <w:rPr>
          <w:rFonts w:ascii="Arial" w:hAnsi="Arial" w:cs="Arial"/>
          <w:i/>
          <w:sz w:val="24"/>
          <w:szCs w:val="24"/>
        </w:rPr>
        <w:t>Serotonergic mechanisms in the migraine brain - a systematic review.</w:t>
      </w:r>
      <w:r w:rsidRPr="004B75B8">
        <w:rPr>
          <w:rFonts w:ascii="Arial" w:hAnsi="Arial" w:cs="Arial"/>
          <w:sz w:val="24"/>
          <w:szCs w:val="24"/>
        </w:rPr>
        <w:t xml:space="preserve"> Cephalalgia, 2017. </w:t>
      </w:r>
      <w:r w:rsidRPr="004B75B8">
        <w:rPr>
          <w:rFonts w:ascii="Arial" w:hAnsi="Arial" w:cs="Arial"/>
          <w:b/>
          <w:sz w:val="24"/>
          <w:szCs w:val="24"/>
        </w:rPr>
        <w:t>37</w:t>
      </w:r>
      <w:r w:rsidRPr="004B75B8">
        <w:rPr>
          <w:rFonts w:ascii="Arial" w:hAnsi="Arial" w:cs="Arial"/>
          <w:sz w:val="24"/>
          <w:szCs w:val="24"/>
        </w:rPr>
        <w:t>(3): p. 251-264.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114.</w:t>
      </w:r>
      <w:r w:rsidRPr="004B75B8">
        <w:rPr>
          <w:rFonts w:ascii="Arial" w:hAnsi="Arial" w:cs="Arial"/>
          <w:sz w:val="24"/>
          <w:szCs w:val="24"/>
        </w:rPr>
        <w:tab/>
        <w:t xml:space="preserve">Hamel, E., </w:t>
      </w:r>
      <w:r w:rsidRPr="004B75B8">
        <w:rPr>
          <w:rFonts w:ascii="Arial" w:hAnsi="Arial" w:cs="Arial"/>
          <w:i/>
          <w:sz w:val="24"/>
          <w:szCs w:val="24"/>
        </w:rPr>
        <w:t>Serotonin and migraine: biology and clinical implications.</w:t>
      </w:r>
      <w:r w:rsidRPr="004B75B8">
        <w:rPr>
          <w:rFonts w:ascii="Arial" w:hAnsi="Arial" w:cs="Arial"/>
          <w:sz w:val="24"/>
          <w:szCs w:val="24"/>
        </w:rPr>
        <w:t xml:space="preserve"> Cephalalgia, 2007. </w:t>
      </w:r>
      <w:r w:rsidRPr="004B75B8">
        <w:rPr>
          <w:rFonts w:ascii="Arial" w:hAnsi="Arial" w:cs="Arial"/>
          <w:b/>
          <w:sz w:val="24"/>
          <w:szCs w:val="24"/>
        </w:rPr>
        <w:t>27</w:t>
      </w:r>
      <w:r w:rsidRPr="004B75B8">
        <w:rPr>
          <w:rFonts w:ascii="Arial" w:hAnsi="Arial" w:cs="Arial"/>
          <w:sz w:val="24"/>
          <w:szCs w:val="24"/>
        </w:rPr>
        <w:t>(11): p. 1293-300.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115.</w:t>
      </w:r>
      <w:r w:rsidRPr="004B75B8">
        <w:rPr>
          <w:rFonts w:ascii="Arial" w:hAnsi="Arial" w:cs="Arial"/>
          <w:sz w:val="24"/>
          <w:szCs w:val="24"/>
        </w:rPr>
        <w:tab/>
        <w:t xml:space="preserve">Panconesi, A., </w:t>
      </w:r>
      <w:r w:rsidRPr="004B75B8">
        <w:rPr>
          <w:rFonts w:ascii="Arial" w:hAnsi="Arial" w:cs="Arial"/>
          <w:i/>
          <w:sz w:val="24"/>
          <w:szCs w:val="24"/>
        </w:rPr>
        <w:t>Serotonin and migraine: a reconsideration of the central theory.</w:t>
      </w:r>
      <w:r w:rsidRPr="004B75B8">
        <w:rPr>
          <w:rFonts w:ascii="Arial" w:hAnsi="Arial" w:cs="Arial"/>
          <w:sz w:val="24"/>
          <w:szCs w:val="24"/>
        </w:rPr>
        <w:t xml:space="preserve"> J Headache Pain, 2008. </w:t>
      </w:r>
      <w:r w:rsidRPr="004B75B8">
        <w:rPr>
          <w:rFonts w:ascii="Arial" w:hAnsi="Arial" w:cs="Arial"/>
          <w:b/>
          <w:sz w:val="24"/>
          <w:szCs w:val="24"/>
        </w:rPr>
        <w:t>9</w:t>
      </w:r>
      <w:r w:rsidRPr="004B75B8">
        <w:rPr>
          <w:rFonts w:ascii="Arial" w:hAnsi="Arial" w:cs="Arial"/>
          <w:sz w:val="24"/>
          <w:szCs w:val="24"/>
        </w:rPr>
        <w:t>(5): p. 267-76.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116.</w:t>
      </w:r>
      <w:r w:rsidRPr="004B75B8">
        <w:rPr>
          <w:rFonts w:ascii="Arial" w:hAnsi="Arial" w:cs="Arial"/>
          <w:sz w:val="24"/>
          <w:szCs w:val="24"/>
        </w:rPr>
        <w:tab/>
        <w:t xml:space="preserve">Farkkila, M., et al., </w:t>
      </w:r>
      <w:r w:rsidRPr="004B75B8">
        <w:rPr>
          <w:rFonts w:ascii="Arial" w:hAnsi="Arial" w:cs="Arial"/>
          <w:i/>
          <w:sz w:val="24"/>
          <w:szCs w:val="24"/>
        </w:rPr>
        <w:t>Efficacy and tolerability of lasmiditan, an oral 5-HT(1F) receptor agonist, for the acute treatment of migraine: a phase 2 randomised, placebo-controlled, parallel-group, dose-ranging study.</w:t>
      </w:r>
      <w:r w:rsidRPr="004B75B8">
        <w:rPr>
          <w:rFonts w:ascii="Arial" w:hAnsi="Arial" w:cs="Arial"/>
          <w:sz w:val="24"/>
          <w:szCs w:val="24"/>
        </w:rPr>
        <w:t xml:space="preserve"> Lancet Neurol, 2012. </w:t>
      </w:r>
      <w:r w:rsidRPr="004B75B8">
        <w:rPr>
          <w:rFonts w:ascii="Arial" w:hAnsi="Arial" w:cs="Arial"/>
          <w:b/>
          <w:sz w:val="24"/>
          <w:szCs w:val="24"/>
        </w:rPr>
        <w:t>11</w:t>
      </w:r>
      <w:r w:rsidRPr="004B75B8">
        <w:rPr>
          <w:rFonts w:ascii="Arial" w:hAnsi="Arial" w:cs="Arial"/>
          <w:sz w:val="24"/>
          <w:szCs w:val="24"/>
        </w:rPr>
        <w:t>(5): p. 405-13.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117.</w:t>
      </w:r>
      <w:r w:rsidRPr="004B75B8">
        <w:rPr>
          <w:rFonts w:ascii="Arial" w:hAnsi="Arial" w:cs="Arial"/>
          <w:sz w:val="24"/>
          <w:szCs w:val="24"/>
        </w:rPr>
        <w:tab/>
        <w:t xml:space="preserve">Ferrari, M.D., et al., </w:t>
      </w:r>
      <w:r w:rsidRPr="004B75B8">
        <w:rPr>
          <w:rFonts w:ascii="Arial" w:hAnsi="Arial" w:cs="Arial"/>
          <w:i/>
          <w:sz w:val="24"/>
          <w:szCs w:val="24"/>
        </w:rPr>
        <w:t>Acute treatment of migraine with the selective 5-HT1F receptor agonist lasmiditan--a randomised proof-of-concept trial.</w:t>
      </w:r>
      <w:r w:rsidRPr="004B75B8">
        <w:rPr>
          <w:rFonts w:ascii="Arial" w:hAnsi="Arial" w:cs="Arial"/>
          <w:sz w:val="24"/>
          <w:szCs w:val="24"/>
        </w:rPr>
        <w:t xml:space="preserve"> Cephalalgia, 2010. </w:t>
      </w:r>
      <w:r w:rsidRPr="004B75B8">
        <w:rPr>
          <w:rFonts w:ascii="Arial" w:hAnsi="Arial" w:cs="Arial"/>
          <w:b/>
          <w:sz w:val="24"/>
          <w:szCs w:val="24"/>
        </w:rPr>
        <w:t>30</w:t>
      </w:r>
      <w:r w:rsidRPr="004B75B8">
        <w:rPr>
          <w:rFonts w:ascii="Arial" w:hAnsi="Arial" w:cs="Arial"/>
          <w:sz w:val="24"/>
          <w:szCs w:val="24"/>
        </w:rPr>
        <w:t>(10): p. 1170-8.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118.</w:t>
      </w:r>
      <w:r w:rsidRPr="004B75B8">
        <w:rPr>
          <w:rFonts w:ascii="Arial" w:hAnsi="Arial" w:cs="Arial"/>
          <w:sz w:val="24"/>
          <w:szCs w:val="24"/>
        </w:rPr>
        <w:tab/>
        <w:t xml:space="preserve">Nelson, D.L., et al., </w:t>
      </w:r>
      <w:r w:rsidRPr="004B75B8">
        <w:rPr>
          <w:rFonts w:ascii="Arial" w:hAnsi="Arial" w:cs="Arial"/>
          <w:i/>
          <w:sz w:val="24"/>
          <w:szCs w:val="24"/>
        </w:rPr>
        <w:t>Preclinical pharmacological profile of the selective 5-HT1F receptor agonist lasmiditan.</w:t>
      </w:r>
      <w:r w:rsidRPr="004B75B8">
        <w:rPr>
          <w:rFonts w:ascii="Arial" w:hAnsi="Arial" w:cs="Arial"/>
          <w:sz w:val="24"/>
          <w:szCs w:val="24"/>
        </w:rPr>
        <w:t xml:space="preserve"> Cephalalgia, 2010. </w:t>
      </w:r>
      <w:r w:rsidRPr="004B75B8">
        <w:rPr>
          <w:rFonts w:ascii="Arial" w:hAnsi="Arial" w:cs="Arial"/>
          <w:b/>
          <w:sz w:val="24"/>
          <w:szCs w:val="24"/>
        </w:rPr>
        <w:t>30</w:t>
      </w:r>
      <w:r w:rsidRPr="004B75B8">
        <w:rPr>
          <w:rFonts w:ascii="Arial" w:hAnsi="Arial" w:cs="Arial"/>
          <w:sz w:val="24"/>
          <w:szCs w:val="24"/>
        </w:rPr>
        <w:t>(10): p. 1159-69.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119.</w:t>
      </w:r>
      <w:r w:rsidRPr="004B75B8">
        <w:rPr>
          <w:rFonts w:ascii="Arial" w:hAnsi="Arial" w:cs="Arial"/>
          <w:sz w:val="24"/>
          <w:szCs w:val="24"/>
        </w:rPr>
        <w:tab/>
        <w:t xml:space="preserve">Lance, J.W. and M. Anthony, </w:t>
      </w:r>
      <w:r w:rsidRPr="004B75B8">
        <w:rPr>
          <w:rFonts w:ascii="Arial" w:hAnsi="Arial" w:cs="Arial"/>
          <w:i/>
          <w:sz w:val="24"/>
          <w:szCs w:val="24"/>
        </w:rPr>
        <w:t>Some clinical aspects of migraine. A prospective survey of 500 patients.</w:t>
      </w:r>
      <w:r w:rsidRPr="004B75B8">
        <w:rPr>
          <w:rFonts w:ascii="Arial" w:hAnsi="Arial" w:cs="Arial"/>
          <w:sz w:val="24"/>
          <w:szCs w:val="24"/>
        </w:rPr>
        <w:t xml:space="preserve"> Arch Neurol, 1966. </w:t>
      </w:r>
      <w:r w:rsidRPr="004B75B8">
        <w:rPr>
          <w:rFonts w:ascii="Arial" w:hAnsi="Arial" w:cs="Arial"/>
          <w:b/>
          <w:sz w:val="24"/>
          <w:szCs w:val="24"/>
        </w:rPr>
        <w:t>15</w:t>
      </w:r>
      <w:r w:rsidRPr="004B75B8">
        <w:rPr>
          <w:rFonts w:ascii="Arial" w:hAnsi="Arial" w:cs="Arial"/>
          <w:sz w:val="24"/>
          <w:szCs w:val="24"/>
        </w:rPr>
        <w:t>(4): p. 356-61.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120.</w:t>
      </w:r>
      <w:r w:rsidRPr="004B75B8">
        <w:rPr>
          <w:rFonts w:ascii="Arial" w:hAnsi="Arial" w:cs="Arial"/>
          <w:sz w:val="24"/>
          <w:szCs w:val="24"/>
        </w:rPr>
        <w:tab/>
        <w:t xml:space="preserve">Merikangas, K.R., et al., </w:t>
      </w:r>
      <w:r w:rsidRPr="004B75B8">
        <w:rPr>
          <w:rFonts w:ascii="Arial" w:hAnsi="Arial" w:cs="Arial"/>
          <w:i/>
          <w:sz w:val="24"/>
          <w:szCs w:val="24"/>
        </w:rPr>
        <w:t>Migraine and depression: association and familial transmission.</w:t>
      </w:r>
      <w:r w:rsidRPr="004B75B8">
        <w:rPr>
          <w:rFonts w:ascii="Arial" w:hAnsi="Arial" w:cs="Arial"/>
          <w:sz w:val="24"/>
          <w:szCs w:val="24"/>
        </w:rPr>
        <w:t xml:space="preserve"> J Psychiatr Res, 1988. </w:t>
      </w:r>
      <w:r w:rsidRPr="004B75B8">
        <w:rPr>
          <w:rFonts w:ascii="Arial" w:hAnsi="Arial" w:cs="Arial"/>
          <w:b/>
          <w:sz w:val="24"/>
          <w:szCs w:val="24"/>
        </w:rPr>
        <w:t>22</w:t>
      </w:r>
      <w:r w:rsidRPr="004B75B8">
        <w:rPr>
          <w:rFonts w:ascii="Arial" w:hAnsi="Arial" w:cs="Arial"/>
          <w:sz w:val="24"/>
          <w:szCs w:val="24"/>
        </w:rPr>
        <w:t>(2): p. 119-29.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121.</w:t>
      </w:r>
      <w:r w:rsidRPr="004B75B8">
        <w:rPr>
          <w:rFonts w:ascii="Arial" w:hAnsi="Arial" w:cs="Arial"/>
          <w:sz w:val="24"/>
          <w:szCs w:val="24"/>
        </w:rPr>
        <w:tab/>
        <w:t xml:space="preserve">Devoto, M., et al., </w:t>
      </w:r>
      <w:r w:rsidRPr="004B75B8">
        <w:rPr>
          <w:rFonts w:ascii="Arial" w:hAnsi="Arial" w:cs="Arial"/>
          <w:i/>
          <w:sz w:val="24"/>
          <w:szCs w:val="24"/>
        </w:rPr>
        <w:t>Segregation analysis of migraine in 128 families.</w:t>
      </w:r>
      <w:r w:rsidRPr="004B75B8">
        <w:rPr>
          <w:rFonts w:ascii="Arial" w:hAnsi="Arial" w:cs="Arial"/>
          <w:sz w:val="24"/>
          <w:szCs w:val="24"/>
        </w:rPr>
        <w:t xml:space="preserve"> Cephalalgia, 1986. </w:t>
      </w:r>
      <w:r w:rsidRPr="004B75B8">
        <w:rPr>
          <w:rFonts w:ascii="Arial" w:hAnsi="Arial" w:cs="Arial"/>
          <w:b/>
          <w:sz w:val="24"/>
          <w:szCs w:val="24"/>
        </w:rPr>
        <w:t>6</w:t>
      </w:r>
      <w:r w:rsidRPr="004B75B8">
        <w:rPr>
          <w:rFonts w:ascii="Arial" w:hAnsi="Arial" w:cs="Arial"/>
          <w:sz w:val="24"/>
          <w:szCs w:val="24"/>
        </w:rPr>
        <w:t>(2): p. 101-5.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122.</w:t>
      </w:r>
      <w:r w:rsidRPr="004B75B8">
        <w:rPr>
          <w:rFonts w:ascii="Arial" w:hAnsi="Arial" w:cs="Arial"/>
          <w:sz w:val="24"/>
          <w:szCs w:val="24"/>
        </w:rPr>
        <w:tab/>
        <w:t xml:space="preserve">Honkasalo, M.L., et al., </w:t>
      </w:r>
      <w:r w:rsidRPr="004B75B8">
        <w:rPr>
          <w:rFonts w:ascii="Arial" w:hAnsi="Arial" w:cs="Arial"/>
          <w:i/>
          <w:sz w:val="24"/>
          <w:szCs w:val="24"/>
        </w:rPr>
        <w:t>Migraine and concomitant symptoms among 8167 adult twin pairs.</w:t>
      </w:r>
      <w:r w:rsidRPr="004B75B8">
        <w:rPr>
          <w:rFonts w:ascii="Arial" w:hAnsi="Arial" w:cs="Arial"/>
          <w:sz w:val="24"/>
          <w:szCs w:val="24"/>
        </w:rPr>
        <w:t xml:space="preserve"> Headache, 1995. </w:t>
      </w:r>
      <w:r w:rsidRPr="004B75B8">
        <w:rPr>
          <w:rFonts w:ascii="Arial" w:hAnsi="Arial" w:cs="Arial"/>
          <w:b/>
          <w:sz w:val="24"/>
          <w:szCs w:val="24"/>
        </w:rPr>
        <w:t>35</w:t>
      </w:r>
      <w:r w:rsidRPr="004B75B8">
        <w:rPr>
          <w:rFonts w:ascii="Arial" w:hAnsi="Arial" w:cs="Arial"/>
          <w:sz w:val="24"/>
          <w:szCs w:val="24"/>
        </w:rPr>
        <w:t>(2): p. 70-8.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123.</w:t>
      </w:r>
      <w:r w:rsidRPr="004B75B8">
        <w:rPr>
          <w:rFonts w:ascii="Arial" w:hAnsi="Arial" w:cs="Arial"/>
          <w:sz w:val="24"/>
          <w:szCs w:val="24"/>
        </w:rPr>
        <w:tab/>
        <w:t xml:space="preserve">Gormley, P., et al., </w:t>
      </w:r>
      <w:r w:rsidRPr="004B75B8">
        <w:rPr>
          <w:rFonts w:ascii="Arial" w:hAnsi="Arial" w:cs="Arial"/>
          <w:i/>
          <w:sz w:val="24"/>
          <w:szCs w:val="24"/>
        </w:rPr>
        <w:t>Meta-analysis of 375,000 individuals identifies 38 susceptibility loci for migraine.</w:t>
      </w:r>
      <w:r w:rsidRPr="004B75B8">
        <w:rPr>
          <w:rFonts w:ascii="Arial" w:hAnsi="Arial" w:cs="Arial"/>
          <w:sz w:val="24"/>
          <w:szCs w:val="24"/>
        </w:rPr>
        <w:t xml:space="preserve"> Nat Genet, 2016. </w:t>
      </w:r>
      <w:r w:rsidRPr="004B75B8">
        <w:rPr>
          <w:rFonts w:ascii="Arial" w:hAnsi="Arial" w:cs="Arial"/>
          <w:b/>
          <w:sz w:val="24"/>
          <w:szCs w:val="24"/>
        </w:rPr>
        <w:t>48</w:t>
      </w:r>
      <w:r w:rsidRPr="004B75B8">
        <w:rPr>
          <w:rFonts w:ascii="Arial" w:hAnsi="Arial" w:cs="Arial"/>
          <w:sz w:val="24"/>
          <w:szCs w:val="24"/>
        </w:rPr>
        <w:t>(8): p. 856-66.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124.</w:t>
      </w:r>
      <w:r w:rsidRPr="004B75B8">
        <w:rPr>
          <w:rFonts w:ascii="Arial" w:hAnsi="Arial" w:cs="Arial"/>
          <w:sz w:val="24"/>
          <w:szCs w:val="24"/>
        </w:rPr>
        <w:tab/>
        <w:t xml:space="preserve">Lafreniere, R.G., et al., </w:t>
      </w:r>
      <w:r w:rsidRPr="004B75B8">
        <w:rPr>
          <w:rFonts w:ascii="Arial" w:hAnsi="Arial" w:cs="Arial"/>
          <w:i/>
          <w:sz w:val="24"/>
          <w:szCs w:val="24"/>
        </w:rPr>
        <w:t>A dominant-negative mutation in the TRESK potassium channel is linked to familial migraine with aura.</w:t>
      </w:r>
      <w:r w:rsidRPr="004B75B8">
        <w:rPr>
          <w:rFonts w:ascii="Arial" w:hAnsi="Arial" w:cs="Arial"/>
          <w:sz w:val="24"/>
          <w:szCs w:val="24"/>
        </w:rPr>
        <w:t xml:space="preserve"> Nat Med, 2010. </w:t>
      </w:r>
      <w:r w:rsidRPr="004B75B8">
        <w:rPr>
          <w:rFonts w:ascii="Arial" w:hAnsi="Arial" w:cs="Arial"/>
          <w:b/>
          <w:sz w:val="24"/>
          <w:szCs w:val="24"/>
        </w:rPr>
        <w:t>16</w:t>
      </w:r>
      <w:r w:rsidRPr="004B75B8">
        <w:rPr>
          <w:rFonts w:ascii="Arial" w:hAnsi="Arial" w:cs="Arial"/>
          <w:sz w:val="24"/>
          <w:szCs w:val="24"/>
        </w:rPr>
        <w:t>(10): p. 1157-60.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125.</w:t>
      </w:r>
      <w:r w:rsidRPr="004B75B8">
        <w:rPr>
          <w:rFonts w:ascii="Arial" w:hAnsi="Arial" w:cs="Arial"/>
          <w:sz w:val="24"/>
          <w:szCs w:val="24"/>
        </w:rPr>
        <w:tab/>
        <w:t xml:space="preserve">Brennan, K.C., et al., </w:t>
      </w:r>
      <w:r w:rsidRPr="004B75B8">
        <w:rPr>
          <w:rFonts w:ascii="Arial" w:hAnsi="Arial" w:cs="Arial"/>
          <w:i/>
          <w:sz w:val="24"/>
          <w:szCs w:val="24"/>
        </w:rPr>
        <w:t>Casein kinase idelta mutations in familial migraine and advanced sleep phase.</w:t>
      </w:r>
      <w:r w:rsidRPr="004B75B8">
        <w:rPr>
          <w:rFonts w:ascii="Arial" w:hAnsi="Arial" w:cs="Arial"/>
          <w:sz w:val="24"/>
          <w:szCs w:val="24"/>
        </w:rPr>
        <w:t xml:space="preserve"> Sci Transl Med, 2013. </w:t>
      </w:r>
      <w:r w:rsidRPr="004B75B8">
        <w:rPr>
          <w:rFonts w:ascii="Arial" w:hAnsi="Arial" w:cs="Arial"/>
          <w:b/>
          <w:sz w:val="24"/>
          <w:szCs w:val="24"/>
        </w:rPr>
        <w:t>5</w:t>
      </w:r>
      <w:r w:rsidRPr="004B75B8">
        <w:rPr>
          <w:rFonts w:ascii="Arial" w:hAnsi="Arial" w:cs="Arial"/>
          <w:sz w:val="24"/>
          <w:szCs w:val="24"/>
        </w:rPr>
        <w:t>(183): p. 183ra56, 1-11.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126.</w:t>
      </w:r>
      <w:r w:rsidRPr="004B75B8">
        <w:rPr>
          <w:rFonts w:ascii="Arial" w:hAnsi="Arial" w:cs="Arial"/>
          <w:sz w:val="24"/>
          <w:szCs w:val="24"/>
        </w:rPr>
        <w:tab/>
        <w:t xml:space="preserve">de Vries, B., et al., </w:t>
      </w:r>
      <w:r w:rsidRPr="004B75B8">
        <w:rPr>
          <w:rFonts w:ascii="Arial" w:hAnsi="Arial" w:cs="Arial"/>
          <w:i/>
          <w:sz w:val="24"/>
          <w:szCs w:val="24"/>
        </w:rPr>
        <w:t>Systematic re-evaluation of genes from candidate gene association studies in migraine using a large genome-wide association data set.</w:t>
      </w:r>
      <w:r w:rsidRPr="004B75B8">
        <w:rPr>
          <w:rFonts w:ascii="Arial" w:hAnsi="Arial" w:cs="Arial"/>
          <w:sz w:val="24"/>
          <w:szCs w:val="24"/>
        </w:rPr>
        <w:t xml:space="preserve"> Cephalalgia, 2016. </w:t>
      </w:r>
      <w:r w:rsidRPr="004B75B8">
        <w:rPr>
          <w:rFonts w:ascii="Arial" w:hAnsi="Arial" w:cs="Arial"/>
          <w:b/>
          <w:sz w:val="24"/>
          <w:szCs w:val="24"/>
        </w:rPr>
        <w:t>36</w:t>
      </w:r>
      <w:r w:rsidRPr="004B75B8">
        <w:rPr>
          <w:rFonts w:ascii="Arial" w:hAnsi="Arial" w:cs="Arial"/>
          <w:sz w:val="24"/>
          <w:szCs w:val="24"/>
        </w:rPr>
        <w:t>(7): p. 604-14.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127.</w:t>
      </w:r>
      <w:r w:rsidRPr="004B75B8">
        <w:rPr>
          <w:rFonts w:ascii="Arial" w:hAnsi="Arial" w:cs="Arial"/>
          <w:sz w:val="24"/>
          <w:szCs w:val="24"/>
        </w:rPr>
        <w:tab/>
        <w:t xml:space="preserve">Moschiano, F., et al., </w:t>
      </w:r>
      <w:r w:rsidRPr="004B75B8">
        <w:rPr>
          <w:rFonts w:ascii="Arial" w:hAnsi="Arial" w:cs="Arial"/>
          <w:i/>
          <w:sz w:val="24"/>
          <w:szCs w:val="24"/>
        </w:rPr>
        <w:t>The role of the clinician in interpreting conventional neuroimaging findings in migraine patients.</w:t>
      </w:r>
      <w:r w:rsidRPr="004B75B8">
        <w:rPr>
          <w:rFonts w:ascii="Arial" w:hAnsi="Arial" w:cs="Arial"/>
          <w:sz w:val="24"/>
          <w:szCs w:val="24"/>
        </w:rPr>
        <w:t xml:space="preserve"> Neurol Sci, 2007. </w:t>
      </w:r>
      <w:r w:rsidRPr="004B75B8">
        <w:rPr>
          <w:rFonts w:ascii="Arial" w:hAnsi="Arial" w:cs="Arial"/>
          <w:b/>
          <w:sz w:val="24"/>
          <w:szCs w:val="24"/>
        </w:rPr>
        <w:t>28 Suppl 2</w:t>
      </w:r>
      <w:r w:rsidRPr="004B75B8">
        <w:rPr>
          <w:rFonts w:ascii="Arial" w:hAnsi="Arial" w:cs="Arial"/>
          <w:sz w:val="24"/>
          <w:szCs w:val="24"/>
        </w:rPr>
        <w:t>: p. S114-7.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128.</w:t>
      </w:r>
      <w:r w:rsidRPr="004B75B8">
        <w:rPr>
          <w:rFonts w:ascii="Arial" w:hAnsi="Arial" w:cs="Arial"/>
          <w:sz w:val="24"/>
          <w:szCs w:val="24"/>
        </w:rPr>
        <w:tab/>
        <w:t xml:space="preserve">Fazekas, F., et al., </w:t>
      </w:r>
      <w:r w:rsidRPr="004B75B8">
        <w:rPr>
          <w:rFonts w:ascii="Arial" w:hAnsi="Arial" w:cs="Arial"/>
          <w:i/>
          <w:sz w:val="24"/>
          <w:szCs w:val="24"/>
        </w:rPr>
        <w:t>The prevalence of cerebral damage varies with migraine type: a MRI study.</w:t>
      </w:r>
      <w:r w:rsidRPr="004B75B8">
        <w:rPr>
          <w:rFonts w:ascii="Arial" w:hAnsi="Arial" w:cs="Arial"/>
          <w:sz w:val="24"/>
          <w:szCs w:val="24"/>
        </w:rPr>
        <w:t xml:space="preserve"> Headache, 1992. </w:t>
      </w:r>
      <w:r w:rsidRPr="004B75B8">
        <w:rPr>
          <w:rFonts w:ascii="Arial" w:hAnsi="Arial" w:cs="Arial"/>
          <w:b/>
          <w:sz w:val="24"/>
          <w:szCs w:val="24"/>
        </w:rPr>
        <w:t>32</w:t>
      </w:r>
      <w:r w:rsidRPr="004B75B8">
        <w:rPr>
          <w:rFonts w:ascii="Arial" w:hAnsi="Arial" w:cs="Arial"/>
          <w:sz w:val="24"/>
          <w:szCs w:val="24"/>
        </w:rPr>
        <w:t>(6): p. 287-91.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129.</w:t>
      </w:r>
      <w:r w:rsidRPr="004B75B8">
        <w:rPr>
          <w:rFonts w:ascii="Arial" w:hAnsi="Arial" w:cs="Arial"/>
          <w:sz w:val="24"/>
          <w:szCs w:val="24"/>
        </w:rPr>
        <w:tab/>
        <w:t xml:space="preserve">Kruit, M.C., et al., </w:t>
      </w:r>
      <w:r w:rsidRPr="004B75B8">
        <w:rPr>
          <w:rFonts w:ascii="Arial" w:hAnsi="Arial" w:cs="Arial"/>
          <w:i/>
          <w:sz w:val="24"/>
          <w:szCs w:val="24"/>
        </w:rPr>
        <w:t>Migraine as a risk factor for subclinical brain lesions.</w:t>
      </w:r>
      <w:r w:rsidRPr="004B75B8">
        <w:rPr>
          <w:rFonts w:ascii="Arial" w:hAnsi="Arial" w:cs="Arial"/>
          <w:sz w:val="24"/>
          <w:szCs w:val="24"/>
        </w:rPr>
        <w:t xml:space="preserve"> JAMA, 2004. </w:t>
      </w:r>
      <w:r w:rsidRPr="004B75B8">
        <w:rPr>
          <w:rFonts w:ascii="Arial" w:hAnsi="Arial" w:cs="Arial"/>
          <w:b/>
          <w:sz w:val="24"/>
          <w:szCs w:val="24"/>
        </w:rPr>
        <w:t>291</w:t>
      </w:r>
      <w:r w:rsidRPr="004B75B8">
        <w:rPr>
          <w:rFonts w:ascii="Arial" w:hAnsi="Arial" w:cs="Arial"/>
          <w:sz w:val="24"/>
          <w:szCs w:val="24"/>
        </w:rPr>
        <w:t>(4): p. 427-34.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130.</w:t>
      </w:r>
      <w:r w:rsidRPr="004B75B8">
        <w:rPr>
          <w:rFonts w:ascii="Arial" w:hAnsi="Arial" w:cs="Arial"/>
          <w:sz w:val="24"/>
          <w:szCs w:val="24"/>
        </w:rPr>
        <w:tab/>
        <w:t xml:space="preserve">Rocca, M.A., et al., </w:t>
      </w:r>
      <w:r w:rsidRPr="004B75B8">
        <w:rPr>
          <w:rFonts w:ascii="Arial" w:hAnsi="Arial" w:cs="Arial"/>
          <w:i/>
          <w:sz w:val="24"/>
          <w:szCs w:val="24"/>
        </w:rPr>
        <w:t>Brain gray matter changes in migraine patients with T2-visible lesions: a 3-T MRI study.</w:t>
      </w:r>
      <w:r w:rsidRPr="004B75B8">
        <w:rPr>
          <w:rFonts w:ascii="Arial" w:hAnsi="Arial" w:cs="Arial"/>
          <w:sz w:val="24"/>
          <w:szCs w:val="24"/>
        </w:rPr>
        <w:t xml:space="preserve"> Stroke, 2006. </w:t>
      </w:r>
      <w:r w:rsidRPr="004B75B8">
        <w:rPr>
          <w:rFonts w:ascii="Arial" w:hAnsi="Arial" w:cs="Arial"/>
          <w:b/>
          <w:sz w:val="24"/>
          <w:szCs w:val="24"/>
        </w:rPr>
        <w:t>37</w:t>
      </w:r>
      <w:r w:rsidRPr="004B75B8">
        <w:rPr>
          <w:rFonts w:ascii="Arial" w:hAnsi="Arial" w:cs="Arial"/>
          <w:sz w:val="24"/>
          <w:szCs w:val="24"/>
        </w:rPr>
        <w:t>(7): p. 1765-70.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131.</w:t>
      </w:r>
      <w:r w:rsidRPr="004B75B8">
        <w:rPr>
          <w:rFonts w:ascii="Arial" w:hAnsi="Arial" w:cs="Arial"/>
          <w:sz w:val="24"/>
          <w:szCs w:val="24"/>
        </w:rPr>
        <w:tab/>
        <w:t xml:space="preserve">Valfre, W., et al., </w:t>
      </w:r>
      <w:r w:rsidRPr="004B75B8">
        <w:rPr>
          <w:rFonts w:ascii="Arial" w:hAnsi="Arial" w:cs="Arial"/>
          <w:i/>
          <w:sz w:val="24"/>
          <w:szCs w:val="24"/>
        </w:rPr>
        <w:t>Voxel-based morphometry reveals gray matter abnormalities in migraine.</w:t>
      </w:r>
      <w:r w:rsidRPr="004B75B8">
        <w:rPr>
          <w:rFonts w:ascii="Arial" w:hAnsi="Arial" w:cs="Arial"/>
          <w:sz w:val="24"/>
          <w:szCs w:val="24"/>
        </w:rPr>
        <w:t xml:space="preserve"> Headache, 2008. </w:t>
      </w:r>
      <w:r w:rsidRPr="004B75B8">
        <w:rPr>
          <w:rFonts w:ascii="Arial" w:hAnsi="Arial" w:cs="Arial"/>
          <w:b/>
          <w:sz w:val="24"/>
          <w:szCs w:val="24"/>
        </w:rPr>
        <w:t>48</w:t>
      </w:r>
      <w:r w:rsidRPr="004B75B8">
        <w:rPr>
          <w:rFonts w:ascii="Arial" w:hAnsi="Arial" w:cs="Arial"/>
          <w:sz w:val="24"/>
          <w:szCs w:val="24"/>
        </w:rPr>
        <w:t>(1): p. 109-17.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132.</w:t>
      </w:r>
      <w:r w:rsidRPr="004B75B8">
        <w:rPr>
          <w:rFonts w:ascii="Arial" w:hAnsi="Arial" w:cs="Arial"/>
          <w:sz w:val="24"/>
          <w:szCs w:val="24"/>
        </w:rPr>
        <w:tab/>
        <w:t xml:space="preserve">Colombo, B., D. Dalla Libera, and G. Comi, </w:t>
      </w:r>
      <w:r w:rsidRPr="004B75B8">
        <w:rPr>
          <w:rFonts w:ascii="Arial" w:hAnsi="Arial" w:cs="Arial"/>
          <w:i/>
          <w:sz w:val="24"/>
          <w:szCs w:val="24"/>
        </w:rPr>
        <w:t>Brain white matter lesions in migraine: what's the meaning?</w:t>
      </w:r>
      <w:r w:rsidRPr="004B75B8">
        <w:rPr>
          <w:rFonts w:ascii="Arial" w:hAnsi="Arial" w:cs="Arial"/>
          <w:sz w:val="24"/>
          <w:szCs w:val="24"/>
        </w:rPr>
        <w:t xml:space="preserve"> Neurol Sci, 2011. </w:t>
      </w:r>
      <w:r w:rsidRPr="004B75B8">
        <w:rPr>
          <w:rFonts w:ascii="Arial" w:hAnsi="Arial" w:cs="Arial"/>
          <w:b/>
          <w:sz w:val="24"/>
          <w:szCs w:val="24"/>
        </w:rPr>
        <w:t>32 Suppl 1</w:t>
      </w:r>
      <w:r w:rsidRPr="004B75B8">
        <w:rPr>
          <w:rFonts w:ascii="Arial" w:hAnsi="Arial" w:cs="Arial"/>
          <w:sz w:val="24"/>
          <w:szCs w:val="24"/>
        </w:rPr>
        <w:t>: p. S37-40.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133.</w:t>
      </w:r>
      <w:r w:rsidRPr="004B75B8">
        <w:rPr>
          <w:rFonts w:ascii="Arial" w:hAnsi="Arial" w:cs="Arial"/>
          <w:sz w:val="24"/>
          <w:szCs w:val="24"/>
        </w:rPr>
        <w:tab/>
        <w:t xml:space="preserve">Kruit, M.C., et al., </w:t>
      </w:r>
      <w:r w:rsidRPr="004B75B8">
        <w:rPr>
          <w:rFonts w:ascii="Arial" w:hAnsi="Arial" w:cs="Arial"/>
          <w:i/>
          <w:sz w:val="24"/>
          <w:szCs w:val="24"/>
        </w:rPr>
        <w:t>Brain stem and cerebellar hyperintense lesions in migraine.</w:t>
      </w:r>
      <w:r w:rsidRPr="004B75B8">
        <w:rPr>
          <w:rFonts w:ascii="Arial" w:hAnsi="Arial" w:cs="Arial"/>
          <w:sz w:val="24"/>
          <w:szCs w:val="24"/>
        </w:rPr>
        <w:t xml:space="preserve"> Stroke, 2006. </w:t>
      </w:r>
      <w:r w:rsidRPr="004B75B8">
        <w:rPr>
          <w:rFonts w:ascii="Arial" w:hAnsi="Arial" w:cs="Arial"/>
          <w:b/>
          <w:sz w:val="24"/>
          <w:szCs w:val="24"/>
        </w:rPr>
        <w:t>37</w:t>
      </w:r>
      <w:r w:rsidRPr="004B75B8">
        <w:rPr>
          <w:rFonts w:ascii="Arial" w:hAnsi="Arial" w:cs="Arial"/>
          <w:sz w:val="24"/>
          <w:szCs w:val="24"/>
        </w:rPr>
        <w:t>(4): p. 1109-12.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134.</w:t>
      </w:r>
      <w:r w:rsidRPr="004B75B8">
        <w:rPr>
          <w:rFonts w:ascii="Arial" w:hAnsi="Arial" w:cs="Arial"/>
          <w:sz w:val="24"/>
          <w:szCs w:val="24"/>
        </w:rPr>
        <w:tab/>
        <w:t xml:space="preserve">Kruit, M.C., et al., </w:t>
      </w:r>
      <w:r w:rsidRPr="004B75B8">
        <w:rPr>
          <w:rFonts w:ascii="Arial" w:hAnsi="Arial" w:cs="Arial"/>
          <w:i/>
          <w:sz w:val="24"/>
          <w:szCs w:val="24"/>
        </w:rPr>
        <w:t>Migraine is associated with an increased risk of deep white matter lesions, subclinical posterior circulation infarcts and brain iron accumulation: the population-based MRI CAMERA study.</w:t>
      </w:r>
      <w:r w:rsidRPr="004B75B8">
        <w:rPr>
          <w:rFonts w:ascii="Arial" w:hAnsi="Arial" w:cs="Arial"/>
          <w:sz w:val="24"/>
          <w:szCs w:val="24"/>
        </w:rPr>
        <w:t xml:space="preserve"> Cephalalgia, 2010. </w:t>
      </w:r>
      <w:r w:rsidRPr="004B75B8">
        <w:rPr>
          <w:rFonts w:ascii="Arial" w:hAnsi="Arial" w:cs="Arial"/>
          <w:b/>
          <w:sz w:val="24"/>
          <w:szCs w:val="24"/>
        </w:rPr>
        <w:t>30</w:t>
      </w:r>
      <w:r w:rsidRPr="004B75B8">
        <w:rPr>
          <w:rFonts w:ascii="Arial" w:hAnsi="Arial" w:cs="Arial"/>
          <w:sz w:val="24"/>
          <w:szCs w:val="24"/>
        </w:rPr>
        <w:t>(2): p. 129-36.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135.</w:t>
      </w:r>
      <w:r w:rsidRPr="004B75B8">
        <w:rPr>
          <w:rFonts w:ascii="Arial" w:hAnsi="Arial" w:cs="Arial"/>
          <w:sz w:val="24"/>
          <w:szCs w:val="24"/>
        </w:rPr>
        <w:tab/>
        <w:t xml:space="preserve">Rozen, T.D., </w:t>
      </w:r>
      <w:r w:rsidRPr="004B75B8">
        <w:rPr>
          <w:rFonts w:ascii="Arial" w:hAnsi="Arial" w:cs="Arial"/>
          <w:i/>
          <w:sz w:val="24"/>
          <w:szCs w:val="24"/>
        </w:rPr>
        <w:t>Vanishing cerebellar infarcts in a migraine patient.</w:t>
      </w:r>
      <w:r w:rsidRPr="004B75B8">
        <w:rPr>
          <w:rFonts w:ascii="Arial" w:hAnsi="Arial" w:cs="Arial"/>
          <w:sz w:val="24"/>
          <w:szCs w:val="24"/>
        </w:rPr>
        <w:t xml:space="preserve"> Cephalalgia, 2007. </w:t>
      </w:r>
      <w:r w:rsidRPr="004B75B8">
        <w:rPr>
          <w:rFonts w:ascii="Arial" w:hAnsi="Arial" w:cs="Arial"/>
          <w:b/>
          <w:sz w:val="24"/>
          <w:szCs w:val="24"/>
        </w:rPr>
        <w:t>27</w:t>
      </w:r>
      <w:r w:rsidRPr="004B75B8">
        <w:rPr>
          <w:rFonts w:ascii="Arial" w:hAnsi="Arial" w:cs="Arial"/>
          <w:sz w:val="24"/>
          <w:szCs w:val="24"/>
        </w:rPr>
        <w:t>(6): p. 557-60.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136.</w:t>
      </w:r>
      <w:r w:rsidRPr="004B75B8">
        <w:rPr>
          <w:rFonts w:ascii="Arial" w:hAnsi="Arial" w:cs="Arial"/>
          <w:sz w:val="24"/>
          <w:szCs w:val="24"/>
        </w:rPr>
        <w:tab/>
        <w:t xml:space="preserve">Rozen, T.D., </w:t>
      </w:r>
      <w:r w:rsidRPr="004B75B8">
        <w:rPr>
          <w:rFonts w:ascii="Arial" w:hAnsi="Arial" w:cs="Arial"/>
          <w:i/>
          <w:sz w:val="24"/>
          <w:szCs w:val="24"/>
        </w:rPr>
        <w:t>Images from headache: white matter lesions of migraine are not static.</w:t>
      </w:r>
      <w:r w:rsidRPr="004B75B8">
        <w:rPr>
          <w:rFonts w:ascii="Arial" w:hAnsi="Arial" w:cs="Arial"/>
          <w:sz w:val="24"/>
          <w:szCs w:val="24"/>
        </w:rPr>
        <w:t xml:space="preserve"> Headache, 2010. </w:t>
      </w:r>
      <w:r w:rsidRPr="004B75B8">
        <w:rPr>
          <w:rFonts w:ascii="Arial" w:hAnsi="Arial" w:cs="Arial"/>
          <w:b/>
          <w:sz w:val="24"/>
          <w:szCs w:val="24"/>
        </w:rPr>
        <w:t>50</w:t>
      </w:r>
      <w:r w:rsidRPr="004B75B8">
        <w:rPr>
          <w:rFonts w:ascii="Arial" w:hAnsi="Arial" w:cs="Arial"/>
          <w:sz w:val="24"/>
          <w:szCs w:val="24"/>
        </w:rPr>
        <w:t>(2): p. 305-6.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137.</w:t>
      </w:r>
      <w:r w:rsidRPr="004B75B8">
        <w:rPr>
          <w:rFonts w:ascii="Arial" w:hAnsi="Arial" w:cs="Arial"/>
          <w:sz w:val="24"/>
          <w:szCs w:val="24"/>
        </w:rPr>
        <w:tab/>
        <w:t xml:space="preserve">Rocca, M.A., et al., </w:t>
      </w:r>
      <w:r w:rsidRPr="004B75B8">
        <w:rPr>
          <w:rFonts w:ascii="Arial" w:hAnsi="Arial" w:cs="Arial"/>
          <w:i/>
          <w:sz w:val="24"/>
          <w:szCs w:val="24"/>
        </w:rPr>
        <w:t>Evidence for cortical functional changes in patients with migraine and white matter abnormalities on conventional and diffusion tensor magnetic resonance imaging.</w:t>
      </w:r>
      <w:r w:rsidRPr="004B75B8">
        <w:rPr>
          <w:rFonts w:ascii="Arial" w:hAnsi="Arial" w:cs="Arial"/>
          <w:sz w:val="24"/>
          <w:szCs w:val="24"/>
        </w:rPr>
        <w:t xml:space="preserve"> Stroke, 2003. </w:t>
      </w:r>
      <w:r w:rsidRPr="004B75B8">
        <w:rPr>
          <w:rFonts w:ascii="Arial" w:hAnsi="Arial" w:cs="Arial"/>
          <w:b/>
          <w:sz w:val="24"/>
          <w:szCs w:val="24"/>
        </w:rPr>
        <w:t>34</w:t>
      </w:r>
      <w:r w:rsidRPr="004B75B8">
        <w:rPr>
          <w:rFonts w:ascii="Arial" w:hAnsi="Arial" w:cs="Arial"/>
          <w:sz w:val="24"/>
          <w:szCs w:val="24"/>
        </w:rPr>
        <w:t>(3): p. 665-70.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138.</w:t>
      </w:r>
      <w:r w:rsidRPr="004B75B8">
        <w:rPr>
          <w:rFonts w:ascii="Arial" w:hAnsi="Arial" w:cs="Arial"/>
          <w:sz w:val="24"/>
          <w:szCs w:val="24"/>
        </w:rPr>
        <w:tab/>
        <w:t xml:space="preserve">Bousser, M.G. and K.M. Welch, </w:t>
      </w:r>
      <w:r w:rsidRPr="004B75B8">
        <w:rPr>
          <w:rFonts w:ascii="Arial" w:hAnsi="Arial" w:cs="Arial"/>
          <w:i/>
          <w:sz w:val="24"/>
          <w:szCs w:val="24"/>
        </w:rPr>
        <w:t>Relation between migraine and stroke.</w:t>
      </w:r>
      <w:r w:rsidRPr="004B75B8">
        <w:rPr>
          <w:rFonts w:ascii="Arial" w:hAnsi="Arial" w:cs="Arial"/>
          <w:sz w:val="24"/>
          <w:szCs w:val="24"/>
        </w:rPr>
        <w:t xml:space="preserve"> Lancet Neurol, 2005. </w:t>
      </w:r>
      <w:r w:rsidRPr="004B75B8">
        <w:rPr>
          <w:rFonts w:ascii="Arial" w:hAnsi="Arial" w:cs="Arial"/>
          <w:b/>
          <w:sz w:val="24"/>
          <w:szCs w:val="24"/>
        </w:rPr>
        <w:t>4</w:t>
      </w:r>
      <w:r w:rsidRPr="004B75B8">
        <w:rPr>
          <w:rFonts w:ascii="Arial" w:hAnsi="Arial" w:cs="Arial"/>
          <w:sz w:val="24"/>
          <w:szCs w:val="24"/>
        </w:rPr>
        <w:t>(9): p. 533-42.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139.</w:t>
      </w:r>
      <w:r w:rsidRPr="004B75B8">
        <w:rPr>
          <w:rFonts w:ascii="Arial" w:hAnsi="Arial" w:cs="Arial"/>
          <w:sz w:val="24"/>
          <w:szCs w:val="24"/>
        </w:rPr>
        <w:tab/>
        <w:t xml:space="preserve">Welch, K.M., </w:t>
      </w:r>
      <w:r w:rsidRPr="004B75B8">
        <w:rPr>
          <w:rFonts w:ascii="Arial" w:hAnsi="Arial" w:cs="Arial"/>
          <w:i/>
          <w:sz w:val="24"/>
          <w:szCs w:val="24"/>
        </w:rPr>
        <w:t>Stroke and migraine--the spectrum of cause and effect.</w:t>
      </w:r>
      <w:r w:rsidRPr="004B75B8">
        <w:rPr>
          <w:rFonts w:ascii="Arial" w:hAnsi="Arial" w:cs="Arial"/>
          <w:sz w:val="24"/>
          <w:szCs w:val="24"/>
        </w:rPr>
        <w:t xml:space="preserve"> Funct Neurol, 2003. </w:t>
      </w:r>
      <w:r w:rsidRPr="004B75B8">
        <w:rPr>
          <w:rFonts w:ascii="Arial" w:hAnsi="Arial" w:cs="Arial"/>
          <w:b/>
          <w:sz w:val="24"/>
          <w:szCs w:val="24"/>
        </w:rPr>
        <w:t>18</w:t>
      </w:r>
      <w:r w:rsidRPr="004B75B8">
        <w:rPr>
          <w:rFonts w:ascii="Arial" w:hAnsi="Arial" w:cs="Arial"/>
          <w:sz w:val="24"/>
          <w:szCs w:val="24"/>
        </w:rPr>
        <w:t>(3): p. 121-6.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140.</w:t>
      </w:r>
      <w:r w:rsidRPr="004B75B8">
        <w:rPr>
          <w:rFonts w:ascii="Arial" w:hAnsi="Arial" w:cs="Arial"/>
          <w:sz w:val="24"/>
          <w:szCs w:val="24"/>
        </w:rPr>
        <w:tab/>
        <w:t xml:space="preserve">Elkind, M.S., </w:t>
      </w:r>
      <w:r w:rsidRPr="004B75B8">
        <w:rPr>
          <w:rFonts w:ascii="Arial" w:hAnsi="Arial" w:cs="Arial"/>
          <w:i/>
          <w:sz w:val="24"/>
          <w:szCs w:val="24"/>
        </w:rPr>
        <w:t>Endothelial repair capacity and migraine: the fix is in.</w:t>
      </w:r>
      <w:r w:rsidRPr="004B75B8">
        <w:rPr>
          <w:rFonts w:ascii="Arial" w:hAnsi="Arial" w:cs="Arial"/>
          <w:sz w:val="24"/>
          <w:szCs w:val="24"/>
        </w:rPr>
        <w:t xml:space="preserve"> Neurology, 2008. </w:t>
      </w:r>
      <w:r w:rsidRPr="004B75B8">
        <w:rPr>
          <w:rFonts w:ascii="Arial" w:hAnsi="Arial" w:cs="Arial"/>
          <w:b/>
          <w:sz w:val="24"/>
          <w:szCs w:val="24"/>
        </w:rPr>
        <w:t>70</w:t>
      </w:r>
      <w:r w:rsidRPr="004B75B8">
        <w:rPr>
          <w:rFonts w:ascii="Arial" w:hAnsi="Arial" w:cs="Arial"/>
          <w:sz w:val="24"/>
          <w:szCs w:val="24"/>
        </w:rPr>
        <w:t>(17): p. 1506-7.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141.</w:t>
      </w:r>
      <w:r w:rsidRPr="004B75B8">
        <w:rPr>
          <w:rFonts w:ascii="Arial" w:hAnsi="Arial" w:cs="Arial"/>
          <w:sz w:val="24"/>
          <w:szCs w:val="24"/>
        </w:rPr>
        <w:tab/>
        <w:t xml:space="preserve">Lee, S.T., et al., </w:t>
      </w:r>
      <w:r w:rsidRPr="004B75B8">
        <w:rPr>
          <w:rFonts w:ascii="Arial" w:hAnsi="Arial" w:cs="Arial"/>
          <w:i/>
          <w:sz w:val="24"/>
          <w:szCs w:val="24"/>
        </w:rPr>
        <w:t>Decreased number and function of endothelial progenitor cells in patients with migraine.</w:t>
      </w:r>
      <w:r w:rsidRPr="004B75B8">
        <w:rPr>
          <w:rFonts w:ascii="Arial" w:hAnsi="Arial" w:cs="Arial"/>
          <w:sz w:val="24"/>
          <w:szCs w:val="24"/>
        </w:rPr>
        <w:t xml:space="preserve"> Neurology, 2008. </w:t>
      </w:r>
      <w:r w:rsidRPr="004B75B8">
        <w:rPr>
          <w:rFonts w:ascii="Arial" w:hAnsi="Arial" w:cs="Arial"/>
          <w:b/>
          <w:sz w:val="24"/>
          <w:szCs w:val="24"/>
        </w:rPr>
        <w:t>70</w:t>
      </w:r>
      <w:r w:rsidRPr="004B75B8">
        <w:rPr>
          <w:rFonts w:ascii="Arial" w:hAnsi="Arial" w:cs="Arial"/>
          <w:sz w:val="24"/>
          <w:szCs w:val="24"/>
        </w:rPr>
        <w:t>(17): p. 1510-7.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142.</w:t>
      </w:r>
      <w:r w:rsidRPr="004B75B8">
        <w:rPr>
          <w:rFonts w:ascii="Arial" w:hAnsi="Arial" w:cs="Arial"/>
          <w:sz w:val="24"/>
          <w:szCs w:val="24"/>
        </w:rPr>
        <w:tab/>
        <w:t xml:space="preserve">Scher, A.I., et al., </w:t>
      </w:r>
      <w:r w:rsidRPr="004B75B8">
        <w:rPr>
          <w:rFonts w:ascii="Arial" w:hAnsi="Arial" w:cs="Arial"/>
          <w:i/>
          <w:sz w:val="24"/>
          <w:szCs w:val="24"/>
        </w:rPr>
        <w:t>Cardiovascular risk factors and migraine: the GEM population-based study.</w:t>
      </w:r>
      <w:r w:rsidRPr="004B75B8">
        <w:rPr>
          <w:rFonts w:ascii="Arial" w:hAnsi="Arial" w:cs="Arial"/>
          <w:sz w:val="24"/>
          <w:szCs w:val="24"/>
        </w:rPr>
        <w:t xml:space="preserve"> Neurology, 2005. </w:t>
      </w:r>
      <w:r w:rsidRPr="004B75B8">
        <w:rPr>
          <w:rFonts w:ascii="Arial" w:hAnsi="Arial" w:cs="Arial"/>
          <w:b/>
          <w:sz w:val="24"/>
          <w:szCs w:val="24"/>
        </w:rPr>
        <w:t>64</w:t>
      </w:r>
      <w:r w:rsidRPr="004B75B8">
        <w:rPr>
          <w:rFonts w:ascii="Arial" w:hAnsi="Arial" w:cs="Arial"/>
          <w:sz w:val="24"/>
          <w:szCs w:val="24"/>
        </w:rPr>
        <w:t>(4): p. 614-20.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143.</w:t>
      </w:r>
      <w:r w:rsidRPr="004B75B8">
        <w:rPr>
          <w:rFonts w:ascii="Arial" w:hAnsi="Arial" w:cs="Arial"/>
          <w:sz w:val="24"/>
          <w:szCs w:val="24"/>
        </w:rPr>
        <w:tab/>
        <w:t xml:space="preserve">Del Zotto, E., et al., </w:t>
      </w:r>
      <w:r w:rsidRPr="004B75B8">
        <w:rPr>
          <w:rFonts w:ascii="Arial" w:hAnsi="Arial" w:cs="Arial"/>
          <w:i/>
          <w:sz w:val="24"/>
          <w:szCs w:val="24"/>
        </w:rPr>
        <w:t>Migraine and ischemic stroke: a debated question.</w:t>
      </w:r>
      <w:r w:rsidRPr="004B75B8">
        <w:rPr>
          <w:rFonts w:ascii="Arial" w:hAnsi="Arial" w:cs="Arial"/>
          <w:sz w:val="24"/>
          <w:szCs w:val="24"/>
        </w:rPr>
        <w:t xml:space="preserve"> J Cereb Blood Flow Metab, 2008. </w:t>
      </w:r>
      <w:r w:rsidRPr="004B75B8">
        <w:rPr>
          <w:rFonts w:ascii="Arial" w:hAnsi="Arial" w:cs="Arial"/>
          <w:b/>
          <w:sz w:val="24"/>
          <w:szCs w:val="24"/>
        </w:rPr>
        <w:t>28</w:t>
      </w:r>
      <w:r w:rsidRPr="004B75B8">
        <w:rPr>
          <w:rFonts w:ascii="Arial" w:hAnsi="Arial" w:cs="Arial"/>
          <w:sz w:val="24"/>
          <w:szCs w:val="24"/>
        </w:rPr>
        <w:t>(8): p. 1399-421.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144.</w:t>
      </w:r>
      <w:r w:rsidRPr="004B75B8">
        <w:rPr>
          <w:rFonts w:ascii="Arial" w:hAnsi="Arial" w:cs="Arial"/>
          <w:sz w:val="24"/>
          <w:szCs w:val="24"/>
        </w:rPr>
        <w:tab/>
        <w:t xml:space="preserve">Tietjen, G.E., </w:t>
      </w:r>
      <w:r w:rsidRPr="004B75B8">
        <w:rPr>
          <w:rFonts w:ascii="Arial" w:hAnsi="Arial" w:cs="Arial"/>
          <w:i/>
          <w:sz w:val="24"/>
          <w:szCs w:val="24"/>
        </w:rPr>
        <w:t>Migraine as a systemic vasculopathy.</w:t>
      </w:r>
      <w:r w:rsidRPr="004B75B8">
        <w:rPr>
          <w:rFonts w:ascii="Arial" w:hAnsi="Arial" w:cs="Arial"/>
          <w:sz w:val="24"/>
          <w:szCs w:val="24"/>
        </w:rPr>
        <w:t xml:space="preserve"> Cephalalgia, 2009. </w:t>
      </w:r>
      <w:r w:rsidRPr="004B75B8">
        <w:rPr>
          <w:rFonts w:ascii="Arial" w:hAnsi="Arial" w:cs="Arial"/>
          <w:b/>
          <w:sz w:val="24"/>
          <w:szCs w:val="24"/>
        </w:rPr>
        <w:t>29</w:t>
      </w:r>
      <w:r w:rsidRPr="004B75B8">
        <w:rPr>
          <w:rFonts w:ascii="Arial" w:hAnsi="Arial" w:cs="Arial"/>
          <w:sz w:val="24"/>
          <w:szCs w:val="24"/>
        </w:rPr>
        <w:t>(9): p. 987-96.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145.</w:t>
      </w:r>
      <w:r w:rsidRPr="004B75B8">
        <w:rPr>
          <w:rFonts w:ascii="Arial" w:hAnsi="Arial" w:cs="Arial"/>
          <w:sz w:val="24"/>
          <w:szCs w:val="24"/>
        </w:rPr>
        <w:tab/>
        <w:t xml:space="preserve">Kruit, M.C., et al., </w:t>
      </w:r>
      <w:r w:rsidRPr="004B75B8">
        <w:rPr>
          <w:rFonts w:ascii="Arial" w:hAnsi="Arial" w:cs="Arial"/>
          <w:i/>
          <w:sz w:val="24"/>
          <w:szCs w:val="24"/>
        </w:rPr>
        <w:t>Infarcts in the posterior circulation territory in migraine. The population-based MRI CAMERA study.</w:t>
      </w:r>
      <w:r w:rsidRPr="004B75B8">
        <w:rPr>
          <w:rFonts w:ascii="Arial" w:hAnsi="Arial" w:cs="Arial"/>
          <w:sz w:val="24"/>
          <w:szCs w:val="24"/>
        </w:rPr>
        <w:t xml:space="preserve"> Brain, 2005. </w:t>
      </w:r>
      <w:r w:rsidRPr="004B75B8">
        <w:rPr>
          <w:rFonts w:ascii="Arial" w:hAnsi="Arial" w:cs="Arial"/>
          <w:b/>
          <w:sz w:val="24"/>
          <w:szCs w:val="24"/>
        </w:rPr>
        <w:t>128</w:t>
      </w:r>
      <w:r w:rsidRPr="004B75B8">
        <w:rPr>
          <w:rFonts w:ascii="Arial" w:hAnsi="Arial" w:cs="Arial"/>
          <w:sz w:val="24"/>
          <w:szCs w:val="24"/>
        </w:rPr>
        <w:t>(Pt 9): p. 2068-77.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146.</w:t>
      </w:r>
      <w:r w:rsidRPr="004B75B8">
        <w:rPr>
          <w:rFonts w:ascii="Arial" w:hAnsi="Arial" w:cs="Arial"/>
          <w:sz w:val="24"/>
          <w:szCs w:val="24"/>
        </w:rPr>
        <w:tab/>
        <w:t xml:space="preserve">Kurth, T., et al., </w:t>
      </w:r>
      <w:r w:rsidRPr="004B75B8">
        <w:rPr>
          <w:rFonts w:ascii="Arial" w:hAnsi="Arial" w:cs="Arial"/>
          <w:i/>
          <w:sz w:val="24"/>
          <w:szCs w:val="24"/>
        </w:rPr>
        <w:t>Headache, migraine, and structural brain lesions and function: population based Epidemiology of Vascular Ageing-MRI study.</w:t>
      </w:r>
      <w:r w:rsidRPr="004B75B8">
        <w:rPr>
          <w:rFonts w:ascii="Arial" w:hAnsi="Arial" w:cs="Arial"/>
          <w:sz w:val="24"/>
          <w:szCs w:val="24"/>
        </w:rPr>
        <w:t xml:space="preserve"> BMJ, 2011. </w:t>
      </w:r>
      <w:r w:rsidRPr="004B75B8">
        <w:rPr>
          <w:rFonts w:ascii="Arial" w:hAnsi="Arial" w:cs="Arial"/>
          <w:b/>
          <w:sz w:val="24"/>
          <w:szCs w:val="24"/>
        </w:rPr>
        <w:t>342</w:t>
      </w:r>
      <w:r w:rsidRPr="004B75B8">
        <w:rPr>
          <w:rFonts w:ascii="Arial" w:hAnsi="Arial" w:cs="Arial"/>
          <w:sz w:val="24"/>
          <w:szCs w:val="24"/>
        </w:rPr>
        <w:t>: p. c7357.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147.</w:t>
      </w:r>
      <w:r w:rsidRPr="004B75B8">
        <w:rPr>
          <w:rFonts w:ascii="Arial" w:hAnsi="Arial" w:cs="Arial"/>
          <w:sz w:val="24"/>
          <w:szCs w:val="24"/>
        </w:rPr>
        <w:tab/>
        <w:t xml:space="preserve">Scher, A.I., et al., </w:t>
      </w:r>
      <w:r w:rsidRPr="004B75B8">
        <w:rPr>
          <w:rFonts w:ascii="Arial" w:hAnsi="Arial" w:cs="Arial"/>
          <w:i/>
          <w:sz w:val="24"/>
          <w:szCs w:val="24"/>
        </w:rPr>
        <w:t>Migraine headache in middle age and late-life brain infarcts.</w:t>
      </w:r>
      <w:r w:rsidRPr="004B75B8">
        <w:rPr>
          <w:rFonts w:ascii="Arial" w:hAnsi="Arial" w:cs="Arial"/>
          <w:sz w:val="24"/>
          <w:szCs w:val="24"/>
        </w:rPr>
        <w:t xml:space="preserve"> JAMA, 2009. </w:t>
      </w:r>
      <w:r w:rsidRPr="004B75B8">
        <w:rPr>
          <w:rFonts w:ascii="Arial" w:hAnsi="Arial" w:cs="Arial"/>
          <w:b/>
          <w:sz w:val="24"/>
          <w:szCs w:val="24"/>
        </w:rPr>
        <w:t>301</w:t>
      </w:r>
      <w:r w:rsidRPr="004B75B8">
        <w:rPr>
          <w:rFonts w:ascii="Arial" w:hAnsi="Arial" w:cs="Arial"/>
          <w:sz w:val="24"/>
          <w:szCs w:val="24"/>
        </w:rPr>
        <w:t>(24): p. 2563-70.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148.</w:t>
      </w:r>
      <w:r w:rsidRPr="004B75B8">
        <w:rPr>
          <w:rFonts w:ascii="Arial" w:hAnsi="Arial" w:cs="Arial"/>
          <w:sz w:val="24"/>
          <w:szCs w:val="24"/>
        </w:rPr>
        <w:tab/>
        <w:t xml:space="preserve">Palm-Meinders, I.H., et al., </w:t>
      </w:r>
      <w:r w:rsidRPr="004B75B8">
        <w:rPr>
          <w:rFonts w:ascii="Arial" w:hAnsi="Arial" w:cs="Arial"/>
          <w:i/>
          <w:sz w:val="24"/>
          <w:szCs w:val="24"/>
        </w:rPr>
        <w:t>Structural brain changes in migraine.</w:t>
      </w:r>
      <w:r w:rsidRPr="004B75B8">
        <w:rPr>
          <w:rFonts w:ascii="Arial" w:hAnsi="Arial" w:cs="Arial"/>
          <w:sz w:val="24"/>
          <w:szCs w:val="24"/>
        </w:rPr>
        <w:t xml:space="preserve"> JAMA, 2012. </w:t>
      </w:r>
      <w:r w:rsidRPr="004B75B8">
        <w:rPr>
          <w:rFonts w:ascii="Arial" w:hAnsi="Arial" w:cs="Arial"/>
          <w:b/>
          <w:sz w:val="24"/>
          <w:szCs w:val="24"/>
        </w:rPr>
        <w:t>308</w:t>
      </w:r>
      <w:r w:rsidRPr="004B75B8">
        <w:rPr>
          <w:rFonts w:ascii="Arial" w:hAnsi="Arial" w:cs="Arial"/>
          <w:sz w:val="24"/>
          <w:szCs w:val="24"/>
        </w:rPr>
        <w:t>(18): p. 1889-97.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149.</w:t>
      </w:r>
      <w:r w:rsidRPr="004B75B8">
        <w:rPr>
          <w:rFonts w:ascii="Arial" w:hAnsi="Arial" w:cs="Arial"/>
          <w:sz w:val="24"/>
          <w:szCs w:val="24"/>
        </w:rPr>
        <w:tab/>
        <w:t xml:space="preserve">Aradi, M., et al., </w:t>
      </w:r>
      <w:r w:rsidRPr="004B75B8">
        <w:rPr>
          <w:rFonts w:ascii="Arial" w:hAnsi="Arial" w:cs="Arial"/>
          <w:i/>
          <w:sz w:val="24"/>
          <w:szCs w:val="24"/>
        </w:rPr>
        <w:t>Quantitative MRI studies of chronic brain white matter hyperintensities in migraine patients.</w:t>
      </w:r>
      <w:r w:rsidRPr="004B75B8">
        <w:rPr>
          <w:rFonts w:ascii="Arial" w:hAnsi="Arial" w:cs="Arial"/>
          <w:sz w:val="24"/>
          <w:szCs w:val="24"/>
        </w:rPr>
        <w:t xml:space="preserve"> Headache, 2013. </w:t>
      </w:r>
      <w:r w:rsidRPr="004B75B8">
        <w:rPr>
          <w:rFonts w:ascii="Arial" w:hAnsi="Arial" w:cs="Arial"/>
          <w:b/>
          <w:sz w:val="24"/>
          <w:szCs w:val="24"/>
        </w:rPr>
        <w:t>53</w:t>
      </w:r>
      <w:r w:rsidRPr="004B75B8">
        <w:rPr>
          <w:rFonts w:ascii="Arial" w:hAnsi="Arial" w:cs="Arial"/>
          <w:sz w:val="24"/>
          <w:szCs w:val="24"/>
        </w:rPr>
        <w:t>(5): p. 752-63.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150.</w:t>
      </w:r>
      <w:r w:rsidRPr="004B75B8">
        <w:rPr>
          <w:rFonts w:ascii="Arial" w:hAnsi="Arial" w:cs="Arial"/>
          <w:sz w:val="24"/>
          <w:szCs w:val="24"/>
        </w:rPr>
        <w:tab/>
        <w:t xml:space="preserve">Yu, D., et al., </w:t>
      </w:r>
      <w:r w:rsidRPr="004B75B8">
        <w:rPr>
          <w:rFonts w:ascii="Arial" w:hAnsi="Arial" w:cs="Arial"/>
          <w:i/>
          <w:sz w:val="24"/>
          <w:szCs w:val="24"/>
        </w:rPr>
        <w:t>Axonal loss of white matter in migraine without aura: a tract-based spatial statistics study.</w:t>
      </w:r>
      <w:r w:rsidRPr="004B75B8">
        <w:rPr>
          <w:rFonts w:ascii="Arial" w:hAnsi="Arial" w:cs="Arial"/>
          <w:sz w:val="24"/>
          <w:szCs w:val="24"/>
        </w:rPr>
        <w:t xml:space="preserve"> Cephalalgia, 2013. </w:t>
      </w:r>
      <w:r w:rsidRPr="004B75B8">
        <w:rPr>
          <w:rFonts w:ascii="Arial" w:hAnsi="Arial" w:cs="Arial"/>
          <w:b/>
          <w:sz w:val="24"/>
          <w:szCs w:val="24"/>
        </w:rPr>
        <w:t>33</w:t>
      </w:r>
      <w:r w:rsidRPr="004B75B8">
        <w:rPr>
          <w:rFonts w:ascii="Arial" w:hAnsi="Arial" w:cs="Arial"/>
          <w:sz w:val="24"/>
          <w:szCs w:val="24"/>
        </w:rPr>
        <w:t>(1): p. 34-42.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151.</w:t>
      </w:r>
      <w:r w:rsidRPr="004B75B8">
        <w:rPr>
          <w:rFonts w:ascii="Arial" w:hAnsi="Arial" w:cs="Arial"/>
          <w:sz w:val="24"/>
          <w:szCs w:val="24"/>
        </w:rPr>
        <w:tab/>
        <w:t xml:space="preserve">Li, X.L., et al., </w:t>
      </w:r>
      <w:r w:rsidRPr="004B75B8">
        <w:rPr>
          <w:rFonts w:ascii="Arial" w:hAnsi="Arial" w:cs="Arial"/>
          <w:i/>
          <w:sz w:val="24"/>
          <w:szCs w:val="24"/>
        </w:rPr>
        <w:t>A diffusion tensor magnetic resonance imaging study of corpus callosum from adult patients with migraine complicated with depressive/anxious disorder.</w:t>
      </w:r>
      <w:r w:rsidRPr="004B75B8">
        <w:rPr>
          <w:rFonts w:ascii="Arial" w:hAnsi="Arial" w:cs="Arial"/>
          <w:sz w:val="24"/>
          <w:szCs w:val="24"/>
        </w:rPr>
        <w:t xml:space="preserve"> Headache, 2011. </w:t>
      </w:r>
      <w:r w:rsidRPr="004B75B8">
        <w:rPr>
          <w:rFonts w:ascii="Arial" w:hAnsi="Arial" w:cs="Arial"/>
          <w:b/>
          <w:sz w:val="24"/>
          <w:szCs w:val="24"/>
        </w:rPr>
        <w:t>51</w:t>
      </w:r>
      <w:r w:rsidRPr="004B75B8">
        <w:rPr>
          <w:rFonts w:ascii="Arial" w:hAnsi="Arial" w:cs="Arial"/>
          <w:sz w:val="24"/>
          <w:szCs w:val="24"/>
        </w:rPr>
        <w:t>(2): p. 237-45.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152.</w:t>
      </w:r>
      <w:r w:rsidRPr="004B75B8">
        <w:rPr>
          <w:rFonts w:ascii="Arial" w:hAnsi="Arial" w:cs="Arial"/>
          <w:sz w:val="24"/>
          <w:szCs w:val="24"/>
        </w:rPr>
        <w:tab/>
        <w:t xml:space="preserve">Coppola, G., et al., </w:t>
      </w:r>
      <w:r w:rsidRPr="004B75B8">
        <w:rPr>
          <w:rFonts w:ascii="Arial" w:hAnsi="Arial" w:cs="Arial"/>
          <w:i/>
          <w:sz w:val="24"/>
          <w:szCs w:val="24"/>
        </w:rPr>
        <w:t>Dynamic changes in thalamic microstructure of migraine without aura patients: a diffusion tensor magnetic resonance imaging study.</w:t>
      </w:r>
      <w:r w:rsidRPr="004B75B8">
        <w:rPr>
          <w:rFonts w:ascii="Arial" w:hAnsi="Arial" w:cs="Arial"/>
          <w:sz w:val="24"/>
          <w:szCs w:val="24"/>
        </w:rPr>
        <w:t xml:space="preserve"> Eur J Neurol, 2014. </w:t>
      </w:r>
      <w:r w:rsidRPr="004B75B8">
        <w:rPr>
          <w:rFonts w:ascii="Arial" w:hAnsi="Arial" w:cs="Arial"/>
          <w:b/>
          <w:sz w:val="24"/>
          <w:szCs w:val="24"/>
        </w:rPr>
        <w:t>21</w:t>
      </w:r>
      <w:r w:rsidRPr="004B75B8">
        <w:rPr>
          <w:rFonts w:ascii="Arial" w:hAnsi="Arial" w:cs="Arial"/>
          <w:sz w:val="24"/>
          <w:szCs w:val="24"/>
        </w:rPr>
        <w:t>(2): p. 287-e13.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153.</w:t>
      </w:r>
      <w:r w:rsidRPr="004B75B8">
        <w:rPr>
          <w:rFonts w:ascii="Arial" w:hAnsi="Arial" w:cs="Arial"/>
          <w:sz w:val="24"/>
          <w:szCs w:val="24"/>
        </w:rPr>
        <w:tab/>
        <w:t xml:space="preserve">de Tommaso, M., et al., </w:t>
      </w:r>
      <w:r w:rsidRPr="004B75B8">
        <w:rPr>
          <w:rFonts w:ascii="Arial" w:hAnsi="Arial" w:cs="Arial"/>
          <w:i/>
          <w:sz w:val="24"/>
          <w:szCs w:val="24"/>
        </w:rPr>
        <w:t>Altered processing of sensory stimuli in patients with migraine.</w:t>
      </w:r>
      <w:r w:rsidRPr="004B75B8">
        <w:rPr>
          <w:rFonts w:ascii="Arial" w:hAnsi="Arial" w:cs="Arial"/>
          <w:sz w:val="24"/>
          <w:szCs w:val="24"/>
        </w:rPr>
        <w:t xml:space="preserve"> Nat Rev Neurol, 2014. </w:t>
      </w:r>
      <w:r w:rsidRPr="004B75B8">
        <w:rPr>
          <w:rFonts w:ascii="Arial" w:hAnsi="Arial" w:cs="Arial"/>
          <w:b/>
          <w:sz w:val="24"/>
          <w:szCs w:val="24"/>
        </w:rPr>
        <w:t>10</w:t>
      </w:r>
      <w:r w:rsidRPr="004B75B8">
        <w:rPr>
          <w:rFonts w:ascii="Arial" w:hAnsi="Arial" w:cs="Arial"/>
          <w:sz w:val="24"/>
          <w:szCs w:val="24"/>
        </w:rPr>
        <w:t>(3): p. 144-55.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154.</w:t>
      </w:r>
      <w:r w:rsidRPr="004B75B8">
        <w:rPr>
          <w:rFonts w:ascii="Arial" w:hAnsi="Arial" w:cs="Arial"/>
          <w:sz w:val="24"/>
          <w:szCs w:val="24"/>
        </w:rPr>
        <w:tab/>
        <w:t xml:space="preserve">Kim, J.H., et al., </w:t>
      </w:r>
      <w:r w:rsidRPr="004B75B8">
        <w:rPr>
          <w:rFonts w:ascii="Arial" w:hAnsi="Arial" w:cs="Arial"/>
          <w:i/>
          <w:sz w:val="24"/>
          <w:szCs w:val="24"/>
        </w:rPr>
        <w:t>Regional grey matter changes in patients with migraine: a voxel-based morphometry study.</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(6): p. 598-604.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155.</w:t>
      </w:r>
      <w:r w:rsidRPr="004B75B8">
        <w:rPr>
          <w:rFonts w:ascii="Arial" w:hAnsi="Arial" w:cs="Arial"/>
          <w:sz w:val="24"/>
          <w:szCs w:val="24"/>
        </w:rPr>
        <w:tab/>
        <w:t xml:space="preserve">Schmitz, N., et al., </w:t>
      </w:r>
      <w:r w:rsidRPr="004B75B8">
        <w:rPr>
          <w:rFonts w:ascii="Arial" w:hAnsi="Arial" w:cs="Arial"/>
          <w:i/>
          <w:sz w:val="24"/>
          <w:szCs w:val="24"/>
        </w:rPr>
        <w:t>Attack frequency and disease duration as indicators for brain damage in migraine.</w:t>
      </w:r>
      <w:r w:rsidRPr="004B75B8">
        <w:rPr>
          <w:rFonts w:ascii="Arial" w:hAnsi="Arial" w:cs="Arial"/>
          <w:sz w:val="24"/>
          <w:szCs w:val="24"/>
        </w:rPr>
        <w:t xml:space="preserve"> Headache, 2008. </w:t>
      </w:r>
      <w:r w:rsidRPr="004B75B8">
        <w:rPr>
          <w:rFonts w:ascii="Arial" w:hAnsi="Arial" w:cs="Arial"/>
          <w:b/>
          <w:sz w:val="24"/>
          <w:szCs w:val="24"/>
        </w:rPr>
        <w:t>48</w:t>
      </w:r>
      <w:r w:rsidRPr="004B75B8">
        <w:rPr>
          <w:rFonts w:ascii="Arial" w:hAnsi="Arial" w:cs="Arial"/>
          <w:sz w:val="24"/>
          <w:szCs w:val="24"/>
        </w:rPr>
        <w:t>(7): p. 1044-55.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156.</w:t>
      </w:r>
      <w:r w:rsidRPr="004B75B8">
        <w:rPr>
          <w:rFonts w:ascii="Arial" w:hAnsi="Arial" w:cs="Arial"/>
          <w:sz w:val="24"/>
          <w:szCs w:val="24"/>
        </w:rPr>
        <w:tab/>
        <w:t xml:space="preserve">Schmidt-Wilcke, T., et al., </w:t>
      </w:r>
      <w:r w:rsidRPr="004B75B8">
        <w:rPr>
          <w:rFonts w:ascii="Arial" w:hAnsi="Arial" w:cs="Arial"/>
          <w:i/>
          <w:sz w:val="24"/>
          <w:szCs w:val="24"/>
        </w:rPr>
        <w:t>Subtle grey matter changes between migraine patients and healthy controls.</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(1): p. 1-4.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157.</w:t>
      </w:r>
      <w:r w:rsidRPr="004B75B8">
        <w:rPr>
          <w:rFonts w:ascii="Arial" w:hAnsi="Arial" w:cs="Arial"/>
          <w:sz w:val="24"/>
          <w:szCs w:val="24"/>
        </w:rPr>
        <w:tab/>
        <w:t xml:space="preserve">Jin, C., et al., </w:t>
      </w:r>
      <w:r w:rsidRPr="004B75B8">
        <w:rPr>
          <w:rFonts w:ascii="Arial" w:hAnsi="Arial" w:cs="Arial"/>
          <w:i/>
          <w:sz w:val="24"/>
          <w:szCs w:val="24"/>
        </w:rPr>
        <w:t>Structural and functional abnormalities in migraine patients without aura.</w:t>
      </w:r>
      <w:r w:rsidRPr="004B75B8">
        <w:rPr>
          <w:rFonts w:ascii="Arial" w:hAnsi="Arial" w:cs="Arial"/>
          <w:sz w:val="24"/>
          <w:szCs w:val="24"/>
        </w:rPr>
        <w:t xml:space="preserve"> NMR Biomed, 2013. </w:t>
      </w:r>
      <w:r w:rsidRPr="004B75B8">
        <w:rPr>
          <w:rFonts w:ascii="Arial" w:hAnsi="Arial" w:cs="Arial"/>
          <w:b/>
          <w:sz w:val="24"/>
          <w:szCs w:val="24"/>
        </w:rPr>
        <w:t>26</w:t>
      </w:r>
      <w:r w:rsidRPr="004B75B8">
        <w:rPr>
          <w:rFonts w:ascii="Arial" w:hAnsi="Arial" w:cs="Arial"/>
          <w:sz w:val="24"/>
          <w:szCs w:val="24"/>
        </w:rPr>
        <w:t>(1): p. 58-64.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158.</w:t>
      </w:r>
      <w:r w:rsidRPr="004B75B8">
        <w:rPr>
          <w:rFonts w:ascii="Arial" w:hAnsi="Arial" w:cs="Arial"/>
          <w:sz w:val="24"/>
          <w:szCs w:val="24"/>
        </w:rPr>
        <w:tab/>
        <w:t xml:space="preserve">Yuan, K., et al., </w:t>
      </w:r>
      <w:r w:rsidRPr="004B75B8">
        <w:rPr>
          <w:rFonts w:ascii="Arial" w:hAnsi="Arial" w:cs="Arial"/>
          <w:i/>
          <w:sz w:val="24"/>
          <w:szCs w:val="24"/>
        </w:rPr>
        <w:t>Altered structure and resting-state functional connectivity of the basal ganglia in migraine patients without aura.</w:t>
      </w:r>
      <w:r w:rsidRPr="004B75B8">
        <w:rPr>
          <w:rFonts w:ascii="Arial" w:hAnsi="Arial" w:cs="Arial"/>
          <w:sz w:val="24"/>
          <w:szCs w:val="24"/>
        </w:rPr>
        <w:t xml:space="preserve"> J Pain, 2013. </w:t>
      </w:r>
      <w:r w:rsidRPr="004B75B8">
        <w:rPr>
          <w:rFonts w:ascii="Arial" w:hAnsi="Arial" w:cs="Arial"/>
          <w:b/>
          <w:sz w:val="24"/>
          <w:szCs w:val="24"/>
        </w:rPr>
        <w:t>14</w:t>
      </w:r>
      <w:r w:rsidRPr="004B75B8">
        <w:rPr>
          <w:rFonts w:ascii="Arial" w:hAnsi="Arial" w:cs="Arial"/>
          <w:sz w:val="24"/>
          <w:szCs w:val="24"/>
        </w:rPr>
        <w:t>(8): p. 836-44.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159.</w:t>
      </w:r>
      <w:r w:rsidRPr="004B75B8">
        <w:rPr>
          <w:rFonts w:ascii="Arial" w:hAnsi="Arial" w:cs="Arial"/>
          <w:sz w:val="24"/>
          <w:szCs w:val="24"/>
        </w:rPr>
        <w:tab/>
        <w:t xml:space="preserve">Messina, R., et al., </w:t>
      </w:r>
      <w:r w:rsidRPr="004B75B8">
        <w:rPr>
          <w:rFonts w:ascii="Arial" w:hAnsi="Arial" w:cs="Arial"/>
          <w:i/>
          <w:sz w:val="24"/>
          <w:szCs w:val="24"/>
        </w:rPr>
        <w:t>Cortical abnormalities in patients with migraine: a surface-based analysis.</w:t>
      </w:r>
      <w:r w:rsidRPr="004B75B8">
        <w:rPr>
          <w:rFonts w:ascii="Arial" w:hAnsi="Arial" w:cs="Arial"/>
          <w:sz w:val="24"/>
          <w:szCs w:val="24"/>
        </w:rPr>
        <w:t xml:space="preserve"> Radiology, 2013. </w:t>
      </w:r>
      <w:r w:rsidRPr="004B75B8">
        <w:rPr>
          <w:rFonts w:ascii="Arial" w:hAnsi="Arial" w:cs="Arial"/>
          <w:b/>
          <w:sz w:val="24"/>
          <w:szCs w:val="24"/>
        </w:rPr>
        <w:t>268</w:t>
      </w:r>
      <w:r w:rsidRPr="004B75B8">
        <w:rPr>
          <w:rFonts w:ascii="Arial" w:hAnsi="Arial" w:cs="Arial"/>
          <w:sz w:val="24"/>
          <w:szCs w:val="24"/>
        </w:rPr>
        <w:t>(1): p. 170-80.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160.</w:t>
      </w:r>
      <w:r w:rsidRPr="004B75B8">
        <w:rPr>
          <w:rFonts w:ascii="Arial" w:hAnsi="Arial" w:cs="Arial"/>
          <w:sz w:val="24"/>
          <w:szCs w:val="24"/>
        </w:rPr>
        <w:tab/>
        <w:t xml:space="preserve">Hansen, J.M., et al., </w:t>
      </w:r>
      <w:r w:rsidRPr="004B75B8">
        <w:rPr>
          <w:rFonts w:ascii="Arial" w:hAnsi="Arial" w:cs="Arial"/>
          <w:i/>
          <w:sz w:val="24"/>
          <w:szCs w:val="24"/>
        </w:rPr>
        <w:t>Distinctive anatomical and physiological features of migraine aura revealed by 18 years of recording.</w:t>
      </w:r>
      <w:r w:rsidRPr="004B75B8">
        <w:rPr>
          <w:rFonts w:ascii="Arial" w:hAnsi="Arial" w:cs="Arial"/>
          <w:sz w:val="24"/>
          <w:szCs w:val="24"/>
        </w:rPr>
        <w:t xml:space="preserve"> Brain, 2013. </w:t>
      </w:r>
      <w:r w:rsidRPr="004B75B8">
        <w:rPr>
          <w:rFonts w:ascii="Arial" w:hAnsi="Arial" w:cs="Arial"/>
          <w:b/>
          <w:sz w:val="24"/>
          <w:szCs w:val="24"/>
        </w:rPr>
        <w:t>136</w:t>
      </w:r>
      <w:r w:rsidRPr="004B75B8">
        <w:rPr>
          <w:rFonts w:ascii="Arial" w:hAnsi="Arial" w:cs="Arial"/>
          <w:sz w:val="24"/>
          <w:szCs w:val="24"/>
        </w:rPr>
        <w:t>(Pt 12): p. 3589-95.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161.</w:t>
      </w:r>
      <w:r w:rsidRPr="004B75B8">
        <w:rPr>
          <w:rFonts w:ascii="Arial" w:hAnsi="Arial" w:cs="Arial"/>
          <w:sz w:val="24"/>
          <w:szCs w:val="24"/>
        </w:rPr>
        <w:tab/>
        <w:t xml:space="preserve">Granziera, C., et al., </w:t>
      </w:r>
      <w:r w:rsidRPr="004B75B8">
        <w:rPr>
          <w:rFonts w:ascii="Arial" w:hAnsi="Arial" w:cs="Arial"/>
          <w:i/>
          <w:sz w:val="24"/>
          <w:szCs w:val="24"/>
        </w:rPr>
        <w:t>Structural abnormalities in the thalamus of migraineurs with aura: a multiparametric study at 3 T.</w:t>
      </w:r>
      <w:r w:rsidRPr="004B75B8">
        <w:rPr>
          <w:rFonts w:ascii="Arial" w:hAnsi="Arial" w:cs="Arial"/>
          <w:sz w:val="24"/>
          <w:szCs w:val="24"/>
        </w:rPr>
        <w:t xml:space="preserve"> Hum Brain Mapp, 2014. </w:t>
      </w:r>
      <w:r w:rsidRPr="004B75B8">
        <w:rPr>
          <w:rFonts w:ascii="Arial" w:hAnsi="Arial" w:cs="Arial"/>
          <w:b/>
          <w:sz w:val="24"/>
          <w:szCs w:val="24"/>
        </w:rPr>
        <w:t>35</w:t>
      </w:r>
      <w:r w:rsidRPr="004B75B8">
        <w:rPr>
          <w:rFonts w:ascii="Arial" w:hAnsi="Arial" w:cs="Arial"/>
          <w:sz w:val="24"/>
          <w:szCs w:val="24"/>
        </w:rPr>
        <w:t>(4): p. 1461-8.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162.</w:t>
      </w:r>
      <w:r w:rsidRPr="004B75B8">
        <w:rPr>
          <w:rFonts w:ascii="Arial" w:hAnsi="Arial" w:cs="Arial"/>
          <w:sz w:val="24"/>
          <w:szCs w:val="24"/>
        </w:rPr>
        <w:tab/>
        <w:t xml:space="preserve">Teutsch, S., et al., </w:t>
      </w:r>
      <w:r w:rsidRPr="004B75B8">
        <w:rPr>
          <w:rFonts w:ascii="Arial" w:hAnsi="Arial" w:cs="Arial"/>
          <w:i/>
          <w:sz w:val="24"/>
          <w:szCs w:val="24"/>
        </w:rPr>
        <w:t>Changes in brain gray matter due to repetitive painful stimulation.</w:t>
      </w:r>
      <w:r w:rsidRPr="004B75B8">
        <w:rPr>
          <w:rFonts w:ascii="Arial" w:hAnsi="Arial" w:cs="Arial"/>
          <w:sz w:val="24"/>
          <w:szCs w:val="24"/>
        </w:rPr>
        <w:t xml:space="preserve"> Neuroimage, 2008. </w:t>
      </w:r>
      <w:r w:rsidRPr="004B75B8">
        <w:rPr>
          <w:rFonts w:ascii="Arial" w:hAnsi="Arial" w:cs="Arial"/>
          <w:b/>
          <w:sz w:val="24"/>
          <w:szCs w:val="24"/>
        </w:rPr>
        <w:t>42</w:t>
      </w:r>
      <w:r w:rsidRPr="004B75B8">
        <w:rPr>
          <w:rFonts w:ascii="Arial" w:hAnsi="Arial" w:cs="Arial"/>
          <w:sz w:val="24"/>
          <w:szCs w:val="24"/>
        </w:rPr>
        <w:t>(2): p. 845-9.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163.</w:t>
      </w:r>
      <w:r w:rsidRPr="004B75B8">
        <w:rPr>
          <w:rFonts w:ascii="Arial" w:hAnsi="Arial" w:cs="Arial"/>
          <w:sz w:val="24"/>
          <w:szCs w:val="24"/>
        </w:rPr>
        <w:tab/>
        <w:t xml:space="preserve">Gwilym, S.E., et al., </w:t>
      </w:r>
      <w:r w:rsidRPr="004B75B8">
        <w:rPr>
          <w:rFonts w:ascii="Arial" w:hAnsi="Arial" w:cs="Arial"/>
          <w:i/>
          <w:sz w:val="24"/>
          <w:szCs w:val="24"/>
        </w:rPr>
        <w:t>Thalamic atrophy associated with painful osteoarthritis of the hip is reversible after arthroplasty: a longitudinal voxel-based morphometric study.</w:t>
      </w:r>
      <w:r w:rsidRPr="004B75B8">
        <w:rPr>
          <w:rFonts w:ascii="Arial" w:hAnsi="Arial" w:cs="Arial"/>
          <w:sz w:val="24"/>
          <w:szCs w:val="24"/>
        </w:rPr>
        <w:t xml:space="preserve"> Arthritis Rheum, 2010. </w:t>
      </w:r>
      <w:r w:rsidRPr="004B75B8">
        <w:rPr>
          <w:rFonts w:ascii="Arial" w:hAnsi="Arial" w:cs="Arial"/>
          <w:b/>
          <w:sz w:val="24"/>
          <w:szCs w:val="24"/>
        </w:rPr>
        <w:t>62</w:t>
      </w:r>
      <w:r w:rsidRPr="004B75B8">
        <w:rPr>
          <w:rFonts w:ascii="Arial" w:hAnsi="Arial" w:cs="Arial"/>
          <w:sz w:val="24"/>
          <w:szCs w:val="24"/>
        </w:rPr>
        <w:t>(10): p. 2930-40.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164.</w:t>
      </w:r>
      <w:r w:rsidRPr="004B75B8">
        <w:rPr>
          <w:rFonts w:ascii="Arial" w:hAnsi="Arial" w:cs="Arial"/>
          <w:sz w:val="24"/>
          <w:szCs w:val="24"/>
        </w:rPr>
        <w:tab/>
        <w:t xml:space="preserve">Afridi, S.K., et al., </w:t>
      </w:r>
      <w:r w:rsidRPr="004B75B8">
        <w:rPr>
          <w:rFonts w:ascii="Arial" w:hAnsi="Arial" w:cs="Arial"/>
          <w:i/>
          <w:sz w:val="24"/>
          <w:szCs w:val="24"/>
        </w:rPr>
        <w:t>A PET study exploring the laterality of brainstem activation in migraine using glyceryl trinitrate.</w:t>
      </w:r>
      <w:r w:rsidRPr="004B75B8">
        <w:rPr>
          <w:rFonts w:ascii="Arial" w:hAnsi="Arial" w:cs="Arial"/>
          <w:sz w:val="24"/>
          <w:szCs w:val="24"/>
        </w:rPr>
        <w:t xml:space="preserve"> Brain, 2005. </w:t>
      </w:r>
      <w:r w:rsidRPr="004B75B8">
        <w:rPr>
          <w:rFonts w:ascii="Arial" w:hAnsi="Arial" w:cs="Arial"/>
          <w:b/>
          <w:sz w:val="24"/>
          <w:szCs w:val="24"/>
        </w:rPr>
        <w:t>128</w:t>
      </w:r>
      <w:r w:rsidRPr="004B75B8">
        <w:rPr>
          <w:rFonts w:ascii="Arial" w:hAnsi="Arial" w:cs="Arial"/>
          <w:sz w:val="24"/>
          <w:szCs w:val="24"/>
        </w:rPr>
        <w:t>(Pt 4): p. 932-9.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165.</w:t>
      </w:r>
      <w:r w:rsidRPr="004B75B8">
        <w:rPr>
          <w:rFonts w:ascii="Arial" w:hAnsi="Arial" w:cs="Arial"/>
          <w:sz w:val="24"/>
          <w:szCs w:val="24"/>
        </w:rPr>
        <w:tab/>
        <w:t xml:space="preserve">Weiller, C., et al., </w:t>
      </w:r>
      <w:r w:rsidRPr="004B75B8">
        <w:rPr>
          <w:rFonts w:ascii="Arial" w:hAnsi="Arial" w:cs="Arial"/>
          <w:i/>
          <w:sz w:val="24"/>
          <w:szCs w:val="24"/>
        </w:rPr>
        <w:t>Brain stem activation in spontaneous human migraine attacks.</w:t>
      </w:r>
      <w:r w:rsidRPr="004B75B8">
        <w:rPr>
          <w:rFonts w:ascii="Arial" w:hAnsi="Arial" w:cs="Arial"/>
          <w:sz w:val="24"/>
          <w:szCs w:val="24"/>
        </w:rPr>
        <w:t xml:space="preserve"> Nat Med, 1995. </w:t>
      </w:r>
      <w:r w:rsidRPr="004B75B8">
        <w:rPr>
          <w:rFonts w:ascii="Arial" w:hAnsi="Arial" w:cs="Arial"/>
          <w:b/>
          <w:sz w:val="24"/>
          <w:szCs w:val="24"/>
        </w:rPr>
        <w:t>1</w:t>
      </w:r>
      <w:r w:rsidRPr="004B75B8">
        <w:rPr>
          <w:rFonts w:ascii="Arial" w:hAnsi="Arial" w:cs="Arial"/>
          <w:sz w:val="24"/>
          <w:szCs w:val="24"/>
        </w:rPr>
        <w:t>(7): p. 658-60.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166.</w:t>
      </w:r>
      <w:r w:rsidRPr="004B75B8">
        <w:rPr>
          <w:rFonts w:ascii="Arial" w:hAnsi="Arial" w:cs="Arial"/>
          <w:sz w:val="24"/>
          <w:szCs w:val="24"/>
        </w:rPr>
        <w:tab/>
        <w:t xml:space="preserve">Denuelle, M., et al., </w:t>
      </w:r>
      <w:r w:rsidRPr="004B75B8">
        <w:rPr>
          <w:rFonts w:ascii="Arial" w:hAnsi="Arial" w:cs="Arial"/>
          <w:i/>
          <w:sz w:val="24"/>
          <w:szCs w:val="24"/>
        </w:rPr>
        <w:t>Hypothalamic activation in spontaneous migraine attacks.</w:t>
      </w:r>
      <w:r w:rsidRPr="004B75B8">
        <w:rPr>
          <w:rFonts w:ascii="Arial" w:hAnsi="Arial" w:cs="Arial"/>
          <w:sz w:val="24"/>
          <w:szCs w:val="24"/>
        </w:rPr>
        <w:t xml:space="preserve"> Headache, 2007. </w:t>
      </w:r>
      <w:r w:rsidRPr="004B75B8">
        <w:rPr>
          <w:rFonts w:ascii="Arial" w:hAnsi="Arial" w:cs="Arial"/>
          <w:b/>
          <w:sz w:val="24"/>
          <w:szCs w:val="24"/>
        </w:rPr>
        <w:t>47</w:t>
      </w:r>
      <w:r w:rsidRPr="004B75B8">
        <w:rPr>
          <w:rFonts w:ascii="Arial" w:hAnsi="Arial" w:cs="Arial"/>
          <w:sz w:val="24"/>
          <w:szCs w:val="24"/>
        </w:rPr>
        <w:t>(10): p. 1418-26.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167.</w:t>
      </w:r>
      <w:r w:rsidRPr="004B75B8">
        <w:rPr>
          <w:rFonts w:ascii="Arial" w:hAnsi="Arial" w:cs="Arial"/>
          <w:sz w:val="24"/>
          <w:szCs w:val="24"/>
        </w:rPr>
        <w:tab/>
        <w:t xml:space="preserve">Maniyar, F.H., et al., </w:t>
      </w:r>
      <w:r w:rsidRPr="004B75B8">
        <w:rPr>
          <w:rFonts w:ascii="Arial" w:hAnsi="Arial" w:cs="Arial"/>
          <w:i/>
          <w:sz w:val="24"/>
          <w:szCs w:val="24"/>
        </w:rPr>
        <w:t>Brain activations in the premonitory phase of nitroglycerin-triggered migraine attacks.</w:t>
      </w:r>
      <w:r w:rsidRPr="004B75B8">
        <w:rPr>
          <w:rFonts w:ascii="Arial" w:hAnsi="Arial" w:cs="Arial"/>
          <w:sz w:val="24"/>
          <w:szCs w:val="24"/>
        </w:rPr>
        <w:t xml:space="preserve"> Brain, 2014. </w:t>
      </w:r>
      <w:r w:rsidRPr="004B75B8">
        <w:rPr>
          <w:rFonts w:ascii="Arial" w:hAnsi="Arial" w:cs="Arial"/>
          <w:b/>
          <w:sz w:val="24"/>
          <w:szCs w:val="24"/>
        </w:rPr>
        <w:t>137</w:t>
      </w:r>
      <w:r w:rsidRPr="004B75B8">
        <w:rPr>
          <w:rFonts w:ascii="Arial" w:hAnsi="Arial" w:cs="Arial"/>
          <w:sz w:val="24"/>
          <w:szCs w:val="24"/>
        </w:rPr>
        <w:t>(Pt 1): p. 232-41.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168.</w:t>
      </w:r>
      <w:r w:rsidRPr="004B75B8">
        <w:rPr>
          <w:rFonts w:ascii="Arial" w:hAnsi="Arial" w:cs="Arial"/>
          <w:sz w:val="24"/>
          <w:szCs w:val="24"/>
        </w:rPr>
        <w:tab/>
        <w:t xml:space="preserve">Schwedt, T.J., et al., </w:t>
      </w:r>
      <w:r w:rsidRPr="004B75B8">
        <w:rPr>
          <w:rFonts w:ascii="Arial" w:hAnsi="Arial" w:cs="Arial"/>
          <w:i/>
          <w:sz w:val="24"/>
          <w:szCs w:val="24"/>
        </w:rPr>
        <w:t>Enhanced pain-induced activity of pain-processing regions in a case-control study of episodic migraine.</w:t>
      </w:r>
      <w:r w:rsidRPr="004B75B8">
        <w:rPr>
          <w:rFonts w:ascii="Arial" w:hAnsi="Arial" w:cs="Arial"/>
          <w:sz w:val="24"/>
          <w:szCs w:val="24"/>
        </w:rPr>
        <w:t xml:space="preserve"> Cephalalgia, 2014. </w:t>
      </w:r>
      <w:r w:rsidRPr="004B75B8">
        <w:rPr>
          <w:rFonts w:ascii="Arial" w:hAnsi="Arial" w:cs="Arial"/>
          <w:b/>
          <w:sz w:val="24"/>
          <w:szCs w:val="24"/>
        </w:rPr>
        <w:t>34</w:t>
      </w:r>
      <w:r w:rsidRPr="004B75B8">
        <w:rPr>
          <w:rFonts w:ascii="Arial" w:hAnsi="Arial" w:cs="Arial"/>
          <w:sz w:val="24"/>
          <w:szCs w:val="24"/>
        </w:rPr>
        <w:t>(12): p. 947-58.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169.</w:t>
      </w:r>
      <w:r w:rsidRPr="004B75B8">
        <w:rPr>
          <w:rFonts w:ascii="Arial" w:hAnsi="Arial" w:cs="Arial"/>
          <w:sz w:val="24"/>
          <w:szCs w:val="24"/>
        </w:rPr>
        <w:tab/>
        <w:t xml:space="preserve">Maleki, N., et al., </w:t>
      </w:r>
      <w:r w:rsidRPr="004B75B8">
        <w:rPr>
          <w:rFonts w:ascii="Arial" w:hAnsi="Arial" w:cs="Arial"/>
          <w:i/>
          <w:sz w:val="24"/>
          <w:szCs w:val="24"/>
        </w:rPr>
        <w:t>Common hippocampal structural and functional changes in migraine.</w:t>
      </w:r>
      <w:r w:rsidRPr="004B75B8">
        <w:rPr>
          <w:rFonts w:ascii="Arial" w:hAnsi="Arial" w:cs="Arial"/>
          <w:sz w:val="24"/>
          <w:szCs w:val="24"/>
        </w:rPr>
        <w:t xml:space="preserve"> Brain Struct Funct, 2013. </w:t>
      </w:r>
      <w:r w:rsidRPr="004B75B8">
        <w:rPr>
          <w:rFonts w:ascii="Arial" w:hAnsi="Arial" w:cs="Arial"/>
          <w:b/>
          <w:sz w:val="24"/>
          <w:szCs w:val="24"/>
        </w:rPr>
        <w:t>218</w:t>
      </w:r>
      <w:r w:rsidRPr="004B75B8">
        <w:rPr>
          <w:rFonts w:ascii="Arial" w:hAnsi="Arial" w:cs="Arial"/>
          <w:sz w:val="24"/>
          <w:szCs w:val="24"/>
        </w:rPr>
        <w:t>(4): p. 903-12.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170.</w:t>
      </w:r>
      <w:r w:rsidRPr="004B75B8">
        <w:rPr>
          <w:rFonts w:ascii="Arial" w:hAnsi="Arial" w:cs="Arial"/>
          <w:sz w:val="24"/>
          <w:szCs w:val="24"/>
        </w:rPr>
        <w:tab/>
        <w:t xml:space="preserve">Maleki, N., et al., </w:t>
      </w:r>
      <w:r w:rsidRPr="004B75B8">
        <w:rPr>
          <w:rFonts w:ascii="Arial" w:hAnsi="Arial" w:cs="Arial"/>
          <w:i/>
          <w:sz w:val="24"/>
          <w:szCs w:val="24"/>
        </w:rPr>
        <w:t>Concurrent functional and structural cortical alterations in migraine.</w:t>
      </w:r>
      <w:r w:rsidRPr="004B75B8">
        <w:rPr>
          <w:rFonts w:ascii="Arial" w:hAnsi="Arial" w:cs="Arial"/>
          <w:sz w:val="24"/>
          <w:szCs w:val="24"/>
        </w:rPr>
        <w:t xml:space="preserve"> Cephalalgia, 2012. </w:t>
      </w:r>
      <w:r w:rsidRPr="004B75B8">
        <w:rPr>
          <w:rFonts w:ascii="Arial" w:hAnsi="Arial" w:cs="Arial"/>
          <w:b/>
          <w:sz w:val="24"/>
          <w:szCs w:val="24"/>
        </w:rPr>
        <w:t>32</w:t>
      </w:r>
      <w:r w:rsidRPr="004B75B8">
        <w:rPr>
          <w:rFonts w:ascii="Arial" w:hAnsi="Arial" w:cs="Arial"/>
          <w:sz w:val="24"/>
          <w:szCs w:val="24"/>
        </w:rPr>
        <w:t>(8): p. 607-20.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171.</w:t>
      </w:r>
      <w:r w:rsidRPr="004B75B8">
        <w:rPr>
          <w:rFonts w:ascii="Arial" w:hAnsi="Arial" w:cs="Arial"/>
          <w:sz w:val="24"/>
          <w:szCs w:val="24"/>
        </w:rPr>
        <w:tab/>
        <w:t xml:space="preserve">Rocca, M.A., et al., </w:t>
      </w:r>
      <w:r w:rsidRPr="004B75B8">
        <w:rPr>
          <w:rFonts w:ascii="Arial" w:hAnsi="Arial" w:cs="Arial"/>
          <w:i/>
          <w:sz w:val="24"/>
          <w:szCs w:val="24"/>
        </w:rPr>
        <w:t>Selective diffusion changes of the visual pathways in patients with migraine: a 3-T tractography study.</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(10): p. 1061-8.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172.</w:t>
      </w:r>
      <w:r w:rsidRPr="004B75B8">
        <w:rPr>
          <w:rFonts w:ascii="Arial" w:hAnsi="Arial" w:cs="Arial"/>
          <w:sz w:val="24"/>
          <w:szCs w:val="24"/>
        </w:rPr>
        <w:tab/>
        <w:t xml:space="preserve">Kruit, M.C., et al., </w:t>
      </w:r>
      <w:r w:rsidRPr="004B75B8">
        <w:rPr>
          <w:rFonts w:ascii="Arial" w:hAnsi="Arial" w:cs="Arial"/>
          <w:i/>
          <w:sz w:val="24"/>
          <w:szCs w:val="24"/>
        </w:rPr>
        <w:t>Iron accumulation in deep brain nuclei in migraine: a population-based magnetic resonance imaging study.</w:t>
      </w:r>
      <w:r w:rsidRPr="004B75B8">
        <w:rPr>
          <w:rFonts w:ascii="Arial" w:hAnsi="Arial" w:cs="Arial"/>
          <w:sz w:val="24"/>
          <w:szCs w:val="24"/>
        </w:rPr>
        <w:t xml:space="preserve"> Cephalalgia, 2009. </w:t>
      </w:r>
      <w:r w:rsidRPr="004B75B8">
        <w:rPr>
          <w:rFonts w:ascii="Arial" w:hAnsi="Arial" w:cs="Arial"/>
          <w:b/>
          <w:sz w:val="24"/>
          <w:szCs w:val="24"/>
        </w:rPr>
        <w:t>29</w:t>
      </w:r>
      <w:r w:rsidRPr="004B75B8">
        <w:rPr>
          <w:rFonts w:ascii="Arial" w:hAnsi="Arial" w:cs="Arial"/>
          <w:sz w:val="24"/>
          <w:szCs w:val="24"/>
        </w:rPr>
        <w:t>(3): p. 351-9.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173.</w:t>
      </w:r>
      <w:r w:rsidRPr="004B75B8">
        <w:rPr>
          <w:rFonts w:ascii="Arial" w:hAnsi="Arial" w:cs="Arial"/>
          <w:sz w:val="24"/>
          <w:szCs w:val="24"/>
        </w:rPr>
        <w:tab/>
        <w:t xml:space="preserve">Weber, F. and A. Goriup, </w:t>
      </w:r>
      <w:r w:rsidRPr="004B75B8">
        <w:rPr>
          <w:rFonts w:ascii="Arial" w:hAnsi="Arial" w:cs="Arial"/>
          <w:i/>
          <w:sz w:val="24"/>
          <w:szCs w:val="24"/>
        </w:rPr>
        <w:t>Prevalence of right-to-left shunts in active fighter pilots.</w:t>
      </w:r>
      <w:r w:rsidRPr="004B75B8">
        <w:rPr>
          <w:rFonts w:ascii="Arial" w:hAnsi="Arial" w:cs="Arial"/>
          <w:sz w:val="24"/>
          <w:szCs w:val="24"/>
        </w:rPr>
        <w:t xml:space="preserve"> Aviat Space Environ Med, 2007. </w:t>
      </w:r>
      <w:r w:rsidRPr="004B75B8">
        <w:rPr>
          <w:rFonts w:ascii="Arial" w:hAnsi="Arial" w:cs="Arial"/>
          <w:b/>
          <w:sz w:val="24"/>
          <w:szCs w:val="24"/>
        </w:rPr>
        <w:t>78</w:t>
      </w:r>
      <w:r w:rsidRPr="004B75B8">
        <w:rPr>
          <w:rFonts w:ascii="Arial" w:hAnsi="Arial" w:cs="Arial"/>
          <w:sz w:val="24"/>
          <w:szCs w:val="24"/>
        </w:rPr>
        <w:t>(2): p. 135-6.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174.</w:t>
      </w:r>
      <w:r w:rsidRPr="004B75B8">
        <w:rPr>
          <w:rFonts w:ascii="Arial" w:hAnsi="Arial" w:cs="Arial"/>
          <w:sz w:val="24"/>
          <w:szCs w:val="24"/>
        </w:rPr>
        <w:tab/>
        <w:t xml:space="preserve">Kernan, W.N., et al., </w:t>
      </w:r>
      <w:r w:rsidRPr="004B75B8">
        <w:rPr>
          <w:rFonts w:ascii="Arial" w:hAnsi="Arial" w:cs="Arial"/>
          <w:i/>
          <w:sz w:val="24"/>
          <w:szCs w:val="24"/>
        </w:rPr>
        <w:t>Guidelines for the prevention of stroke in patients with stroke and transient ischemic attack: a guideline for healthcare professionals from the American Heart Association/American Stroke Association.</w:t>
      </w:r>
      <w:r w:rsidRPr="004B75B8">
        <w:rPr>
          <w:rFonts w:ascii="Arial" w:hAnsi="Arial" w:cs="Arial"/>
          <w:sz w:val="24"/>
          <w:szCs w:val="24"/>
        </w:rPr>
        <w:t xml:space="preserve"> Stroke, 2014. </w:t>
      </w:r>
      <w:r w:rsidRPr="004B75B8">
        <w:rPr>
          <w:rFonts w:ascii="Arial" w:hAnsi="Arial" w:cs="Arial"/>
          <w:b/>
          <w:sz w:val="24"/>
          <w:szCs w:val="24"/>
        </w:rPr>
        <w:t>45</w:t>
      </w:r>
      <w:r w:rsidRPr="004B75B8">
        <w:rPr>
          <w:rFonts w:ascii="Arial" w:hAnsi="Arial" w:cs="Arial"/>
          <w:sz w:val="24"/>
          <w:szCs w:val="24"/>
        </w:rPr>
        <w:t>(7): p. 2160-236.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175.</w:t>
      </w:r>
      <w:r w:rsidRPr="004B75B8">
        <w:rPr>
          <w:rFonts w:ascii="Arial" w:hAnsi="Arial" w:cs="Arial"/>
          <w:sz w:val="24"/>
          <w:szCs w:val="24"/>
        </w:rPr>
        <w:tab/>
        <w:t xml:space="preserve">Del Sette, M., et al., </w:t>
      </w:r>
      <w:r w:rsidRPr="004B75B8">
        <w:rPr>
          <w:rFonts w:ascii="Arial" w:hAnsi="Arial" w:cs="Arial"/>
          <w:i/>
          <w:sz w:val="24"/>
          <w:szCs w:val="24"/>
        </w:rPr>
        <w:t>Migraine with aura and right-to-left shunt on transcranial Doppler: a case-control study.</w:t>
      </w:r>
      <w:r w:rsidRPr="004B75B8">
        <w:rPr>
          <w:rFonts w:ascii="Arial" w:hAnsi="Arial" w:cs="Arial"/>
          <w:sz w:val="24"/>
          <w:szCs w:val="24"/>
        </w:rPr>
        <w:t xml:space="preserve"> Cerebrovasc Dis, 1998. </w:t>
      </w:r>
      <w:r w:rsidRPr="004B75B8">
        <w:rPr>
          <w:rFonts w:ascii="Arial" w:hAnsi="Arial" w:cs="Arial"/>
          <w:b/>
          <w:sz w:val="24"/>
          <w:szCs w:val="24"/>
        </w:rPr>
        <w:t>8</w:t>
      </w:r>
      <w:r w:rsidRPr="004B75B8">
        <w:rPr>
          <w:rFonts w:ascii="Arial" w:hAnsi="Arial" w:cs="Arial"/>
          <w:sz w:val="24"/>
          <w:szCs w:val="24"/>
        </w:rPr>
        <w:t>(6): p. 327-30.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176.</w:t>
      </w:r>
      <w:r w:rsidRPr="004B75B8">
        <w:rPr>
          <w:rFonts w:ascii="Arial" w:hAnsi="Arial" w:cs="Arial"/>
          <w:sz w:val="24"/>
          <w:szCs w:val="24"/>
        </w:rPr>
        <w:tab/>
        <w:t xml:space="preserve">Di Tullio, M., et al., </w:t>
      </w:r>
      <w:r w:rsidRPr="004B75B8">
        <w:rPr>
          <w:rFonts w:ascii="Arial" w:hAnsi="Arial" w:cs="Arial"/>
          <w:i/>
          <w:sz w:val="24"/>
          <w:szCs w:val="24"/>
        </w:rPr>
        <w:t>Comparison of diagnostic techniques for the detection of a patent foramen ovale in stroke patients.</w:t>
      </w:r>
      <w:r w:rsidRPr="004B75B8">
        <w:rPr>
          <w:rFonts w:ascii="Arial" w:hAnsi="Arial" w:cs="Arial"/>
          <w:sz w:val="24"/>
          <w:szCs w:val="24"/>
        </w:rPr>
        <w:t xml:space="preserve"> Stroke, 1993. </w:t>
      </w:r>
      <w:r w:rsidRPr="004B75B8">
        <w:rPr>
          <w:rFonts w:ascii="Arial" w:hAnsi="Arial" w:cs="Arial"/>
          <w:b/>
          <w:sz w:val="24"/>
          <w:szCs w:val="24"/>
        </w:rPr>
        <w:t>24</w:t>
      </w:r>
      <w:r w:rsidRPr="004B75B8">
        <w:rPr>
          <w:rFonts w:ascii="Arial" w:hAnsi="Arial" w:cs="Arial"/>
          <w:sz w:val="24"/>
          <w:szCs w:val="24"/>
        </w:rPr>
        <w:t>(7): p. 1020-4.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177.</w:t>
      </w:r>
      <w:r w:rsidRPr="004B75B8">
        <w:rPr>
          <w:rFonts w:ascii="Arial" w:hAnsi="Arial" w:cs="Arial"/>
          <w:sz w:val="24"/>
          <w:szCs w:val="24"/>
        </w:rPr>
        <w:tab/>
        <w:t xml:space="preserve">Del Sette, M., et al., </w:t>
      </w:r>
      <w:r w:rsidRPr="004B75B8">
        <w:rPr>
          <w:rFonts w:ascii="Arial" w:hAnsi="Arial" w:cs="Arial"/>
          <w:i/>
          <w:sz w:val="24"/>
          <w:szCs w:val="24"/>
        </w:rPr>
        <w:t>Diagnosis of right-to-left shunt with transcranial Doppler and vertebrobasilar recording.</w:t>
      </w:r>
      <w:r w:rsidRPr="004B75B8">
        <w:rPr>
          <w:rFonts w:ascii="Arial" w:hAnsi="Arial" w:cs="Arial"/>
          <w:sz w:val="24"/>
          <w:szCs w:val="24"/>
        </w:rPr>
        <w:t xml:space="preserve"> Stroke, 2007. </w:t>
      </w:r>
      <w:r w:rsidRPr="004B75B8">
        <w:rPr>
          <w:rFonts w:ascii="Arial" w:hAnsi="Arial" w:cs="Arial"/>
          <w:b/>
          <w:sz w:val="24"/>
          <w:szCs w:val="24"/>
        </w:rPr>
        <w:t>38</w:t>
      </w:r>
      <w:r w:rsidRPr="004B75B8">
        <w:rPr>
          <w:rFonts w:ascii="Arial" w:hAnsi="Arial" w:cs="Arial"/>
          <w:sz w:val="24"/>
          <w:szCs w:val="24"/>
        </w:rPr>
        <w:t>(8): p. 2254-6.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178.</w:t>
      </w:r>
      <w:r w:rsidRPr="004B75B8">
        <w:rPr>
          <w:rFonts w:ascii="Arial" w:hAnsi="Arial" w:cs="Arial"/>
          <w:sz w:val="24"/>
          <w:szCs w:val="24"/>
        </w:rPr>
        <w:tab/>
        <w:t xml:space="preserve">Chessa, M., et al., </w:t>
      </w:r>
      <w:r w:rsidRPr="004B75B8">
        <w:rPr>
          <w:rFonts w:ascii="Arial" w:hAnsi="Arial" w:cs="Arial"/>
          <w:i/>
          <w:sz w:val="24"/>
          <w:szCs w:val="24"/>
        </w:rPr>
        <w:t>Is it too early to recommend patent foramen ovale closure for all patients who suffer from migraine? A single-centre study.</w:t>
      </w:r>
      <w:r w:rsidRPr="004B75B8">
        <w:rPr>
          <w:rFonts w:ascii="Arial" w:hAnsi="Arial" w:cs="Arial"/>
          <w:sz w:val="24"/>
          <w:szCs w:val="24"/>
        </w:rPr>
        <w:t xml:space="preserve"> J Cardiovasc Med (Hagerstown), 2009. </w:t>
      </w:r>
      <w:r w:rsidRPr="004B75B8">
        <w:rPr>
          <w:rFonts w:ascii="Arial" w:hAnsi="Arial" w:cs="Arial"/>
          <w:b/>
          <w:sz w:val="24"/>
          <w:szCs w:val="24"/>
        </w:rPr>
        <w:t>10</w:t>
      </w:r>
      <w:r w:rsidRPr="004B75B8">
        <w:rPr>
          <w:rFonts w:ascii="Arial" w:hAnsi="Arial" w:cs="Arial"/>
          <w:sz w:val="24"/>
          <w:szCs w:val="24"/>
        </w:rPr>
        <w:t>(5): p. 401-5.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179.</w:t>
      </w:r>
      <w:r w:rsidRPr="004B75B8">
        <w:rPr>
          <w:rFonts w:ascii="Arial" w:hAnsi="Arial" w:cs="Arial"/>
          <w:sz w:val="24"/>
          <w:szCs w:val="24"/>
        </w:rPr>
        <w:tab/>
        <w:t xml:space="preserve">Schwedt, T.J., B.M. Demaerschalk, and D.W. Dodick, </w:t>
      </w:r>
      <w:r w:rsidRPr="004B75B8">
        <w:rPr>
          <w:rFonts w:ascii="Arial" w:hAnsi="Arial" w:cs="Arial"/>
          <w:i/>
          <w:sz w:val="24"/>
          <w:szCs w:val="24"/>
        </w:rPr>
        <w:t>Patent foramen ovale and migraine: a quantitative systematic review.</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(5): p. 531-40.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180.</w:t>
      </w:r>
      <w:r w:rsidRPr="004B75B8">
        <w:rPr>
          <w:rFonts w:ascii="Arial" w:hAnsi="Arial" w:cs="Arial"/>
          <w:sz w:val="24"/>
          <w:szCs w:val="24"/>
        </w:rPr>
        <w:tab/>
        <w:t xml:space="preserve">Lip, P.Z. and G.Y. Lip, </w:t>
      </w:r>
      <w:r w:rsidRPr="004B75B8">
        <w:rPr>
          <w:rFonts w:ascii="Arial" w:hAnsi="Arial" w:cs="Arial"/>
          <w:i/>
          <w:sz w:val="24"/>
          <w:szCs w:val="24"/>
        </w:rPr>
        <w:t>Patent foramen ovale and migraine attacks: a systematic review.</w:t>
      </w:r>
      <w:r w:rsidRPr="004B75B8">
        <w:rPr>
          <w:rFonts w:ascii="Arial" w:hAnsi="Arial" w:cs="Arial"/>
          <w:sz w:val="24"/>
          <w:szCs w:val="24"/>
        </w:rPr>
        <w:t xml:space="preserve"> Am J Med, 2014. </w:t>
      </w:r>
      <w:r w:rsidRPr="004B75B8">
        <w:rPr>
          <w:rFonts w:ascii="Arial" w:hAnsi="Arial" w:cs="Arial"/>
          <w:b/>
          <w:sz w:val="24"/>
          <w:szCs w:val="24"/>
        </w:rPr>
        <w:t>127</w:t>
      </w:r>
      <w:r w:rsidRPr="004B75B8">
        <w:rPr>
          <w:rFonts w:ascii="Arial" w:hAnsi="Arial" w:cs="Arial"/>
          <w:sz w:val="24"/>
          <w:szCs w:val="24"/>
        </w:rPr>
        <w:t>(5): p. 411-20.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181.</w:t>
      </w:r>
      <w:r w:rsidRPr="004B75B8">
        <w:rPr>
          <w:rFonts w:ascii="Arial" w:hAnsi="Arial" w:cs="Arial"/>
          <w:sz w:val="24"/>
          <w:szCs w:val="24"/>
        </w:rPr>
        <w:tab/>
        <w:t xml:space="preserve">Wilmshurst, P. and S. Nightingale, </w:t>
      </w:r>
      <w:r w:rsidRPr="004B75B8">
        <w:rPr>
          <w:rFonts w:ascii="Arial" w:hAnsi="Arial" w:cs="Arial"/>
          <w:i/>
          <w:sz w:val="24"/>
          <w:szCs w:val="24"/>
        </w:rPr>
        <w:t>Relationship between migraine and cardiac and pulmonary right-to-left shunts.</w:t>
      </w:r>
      <w:r w:rsidRPr="004B75B8">
        <w:rPr>
          <w:rFonts w:ascii="Arial" w:hAnsi="Arial" w:cs="Arial"/>
          <w:sz w:val="24"/>
          <w:szCs w:val="24"/>
        </w:rPr>
        <w:t xml:space="preserve"> Clin Sci (Lond), 2001. </w:t>
      </w:r>
      <w:r w:rsidRPr="004B75B8">
        <w:rPr>
          <w:rFonts w:ascii="Arial" w:hAnsi="Arial" w:cs="Arial"/>
          <w:b/>
          <w:sz w:val="24"/>
          <w:szCs w:val="24"/>
        </w:rPr>
        <w:t>100</w:t>
      </w:r>
      <w:r w:rsidRPr="004B75B8">
        <w:rPr>
          <w:rFonts w:ascii="Arial" w:hAnsi="Arial" w:cs="Arial"/>
          <w:sz w:val="24"/>
          <w:szCs w:val="24"/>
        </w:rPr>
        <w:t>(2): p. 215-20.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182.</w:t>
      </w:r>
      <w:r w:rsidRPr="004B75B8">
        <w:rPr>
          <w:rFonts w:ascii="Arial" w:hAnsi="Arial" w:cs="Arial"/>
          <w:sz w:val="24"/>
          <w:szCs w:val="24"/>
        </w:rPr>
        <w:tab/>
        <w:t xml:space="preserve">Wilmshurst, P., M. Pearson, and S. Nightingale, </w:t>
      </w:r>
      <w:r w:rsidRPr="004B75B8">
        <w:rPr>
          <w:rFonts w:ascii="Arial" w:hAnsi="Arial" w:cs="Arial"/>
          <w:i/>
          <w:sz w:val="24"/>
          <w:szCs w:val="24"/>
        </w:rPr>
        <w:t>Re-evaluation of the relationship between migraine and persistent foramen ovale and other right-to-left shunts.</w:t>
      </w:r>
      <w:r w:rsidRPr="004B75B8">
        <w:rPr>
          <w:rFonts w:ascii="Arial" w:hAnsi="Arial" w:cs="Arial"/>
          <w:sz w:val="24"/>
          <w:szCs w:val="24"/>
        </w:rPr>
        <w:t xml:space="preserve"> Clin Sci (Lond), 2005. </w:t>
      </w:r>
      <w:r w:rsidRPr="004B75B8">
        <w:rPr>
          <w:rFonts w:ascii="Arial" w:hAnsi="Arial" w:cs="Arial"/>
          <w:b/>
          <w:sz w:val="24"/>
          <w:szCs w:val="24"/>
        </w:rPr>
        <w:t>108</w:t>
      </w:r>
      <w:r w:rsidRPr="004B75B8">
        <w:rPr>
          <w:rFonts w:ascii="Arial" w:hAnsi="Arial" w:cs="Arial"/>
          <w:sz w:val="24"/>
          <w:szCs w:val="24"/>
        </w:rPr>
        <w:t>(4): p. 365-7.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183.</w:t>
      </w:r>
      <w:r w:rsidRPr="004B75B8">
        <w:rPr>
          <w:rFonts w:ascii="Arial" w:hAnsi="Arial" w:cs="Arial"/>
          <w:sz w:val="24"/>
          <w:szCs w:val="24"/>
        </w:rPr>
        <w:tab/>
        <w:t xml:space="preserve">Schwerzmann, M., et al., </w:t>
      </w:r>
      <w:r w:rsidRPr="004B75B8">
        <w:rPr>
          <w:rFonts w:ascii="Arial" w:hAnsi="Arial" w:cs="Arial"/>
          <w:i/>
          <w:sz w:val="24"/>
          <w:szCs w:val="24"/>
        </w:rPr>
        <w:t>Prevalence and size of directly detected patent foramen ovale in migraine with aura.</w:t>
      </w:r>
      <w:r w:rsidRPr="004B75B8">
        <w:rPr>
          <w:rFonts w:ascii="Arial" w:hAnsi="Arial" w:cs="Arial"/>
          <w:sz w:val="24"/>
          <w:szCs w:val="24"/>
        </w:rPr>
        <w:t xml:space="preserve"> Neurology, 2005. </w:t>
      </w:r>
      <w:r w:rsidRPr="004B75B8">
        <w:rPr>
          <w:rFonts w:ascii="Arial" w:hAnsi="Arial" w:cs="Arial"/>
          <w:b/>
          <w:sz w:val="24"/>
          <w:szCs w:val="24"/>
        </w:rPr>
        <w:t>65</w:t>
      </w:r>
      <w:r w:rsidRPr="004B75B8">
        <w:rPr>
          <w:rFonts w:ascii="Arial" w:hAnsi="Arial" w:cs="Arial"/>
          <w:sz w:val="24"/>
          <w:szCs w:val="24"/>
        </w:rPr>
        <w:t>(9): p. 1415-8.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184.</w:t>
      </w:r>
      <w:r w:rsidRPr="004B75B8">
        <w:rPr>
          <w:rFonts w:ascii="Arial" w:hAnsi="Arial" w:cs="Arial"/>
          <w:sz w:val="24"/>
          <w:szCs w:val="24"/>
        </w:rPr>
        <w:tab/>
        <w:t xml:space="preserve">Wilmshurst, P.T., et al., </w:t>
      </w:r>
      <w:r w:rsidRPr="004B75B8">
        <w:rPr>
          <w:rFonts w:ascii="Arial" w:hAnsi="Arial" w:cs="Arial"/>
          <w:i/>
          <w:sz w:val="24"/>
          <w:szCs w:val="24"/>
        </w:rPr>
        <w:t>Inheritance of persistent foramen ovale and atrial septal defects and the relation to familial migraine with aura.</w:t>
      </w:r>
      <w:r w:rsidRPr="004B75B8">
        <w:rPr>
          <w:rFonts w:ascii="Arial" w:hAnsi="Arial" w:cs="Arial"/>
          <w:sz w:val="24"/>
          <w:szCs w:val="24"/>
        </w:rPr>
        <w:t xml:space="preserve"> Heart, 2004. </w:t>
      </w:r>
      <w:r w:rsidRPr="004B75B8">
        <w:rPr>
          <w:rFonts w:ascii="Arial" w:hAnsi="Arial" w:cs="Arial"/>
          <w:b/>
          <w:sz w:val="24"/>
          <w:szCs w:val="24"/>
        </w:rPr>
        <w:t>90</w:t>
      </w:r>
      <w:r w:rsidRPr="004B75B8">
        <w:rPr>
          <w:rFonts w:ascii="Arial" w:hAnsi="Arial" w:cs="Arial"/>
          <w:sz w:val="24"/>
          <w:szCs w:val="24"/>
        </w:rPr>
        <w:t>(11): p. 1315-20.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185.</w:t>
      </w:r>
      <w:r w:rsidRPr="004B75B8">
        <w:rPr>
          <w:rFonts w:ascii="Arial" w:hAnsi="Arial" w:cs="Arial"/>
          <w:sz w:val="24"/>
          <w:szCs w:val="24"/>
        </w:rPr>
        <w:tab/>
        <w:t xml:space="preserve">Dinia, L., et al., </w:t>
      </w:r>
      <w:r w:rsidRPr="004B75B8">
        <w:rPr>
          <w:rFonts w:ascii="Arial" w:hAnsi="Arial" w:cs="Arial"/>
          <w:i/>
          <w:sz w:val="24"/>
          <w:szCs w:val="24"/>
        </w:rPr>
        <w:t>Diffusion MRI during migraine with aura attack associated with diagnostic microbubbles injection in subjects with large PFO.</w:t>
      </w:r>
      <w:r w:rsidRPr="004B75B8">
        <w:rPr>
          <w:rFonts w:ascii="Arial" w:hAnsi="Arial" w:cs="Arial"/>
          <w:sz w:val="24"/>
          <w:szCs w:val="24"/>
        </w:rPr>
        <w:t xml:space="preserve"> Headache, 2007. </w:t>
      </w:r>
      <w:r w:rsidRPr="004B75B8">
        <w:rPr>
          <w:rFonts w:ascii="Arial" w:hAnsi="Arial" w:cs="Arial"/>
          <w:b/>
          <w:sz w:val="24"/>
          <w:szCs w:val="24"/>
        </w:rPr>
        <w:t>47</w:t>
      </w:r>
      <w:r w:rsidRPr="004B75B8">
        <w:rPr>
          <w:rFonts w:ascii="Arial" w:hAnsi="Arial" w:cs="Arial"/>
          <w:sz w:val="24"/>
          <w:szCs w:val="24"/>
        </w:rPr>
        <w:t>(10): p. 1455-6.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186.</w:t>
      </w:r>
      <w:r w:rsidRPr="004B75B8">
        <w:rPr>
          <w:rFonts w:ascii="Arial" w:hAnsi="Arial" w:cs="Arial"/>
          <w:sz w:val="24"/>
          <w:szCs w:val="24"/>
        </w:rPr>
        <w:tab/>
        <w:t xml:space="preserve">Sharma, A., N. Gheewala, and P. Silver, </w:t>
      </w:r>
      <w:r w:rsidRPr="004B75B8">
        <w:rPr>
          <w:rFonts w:ascii="Arial" w:hAnsi="Arial" w:cs="Arial"/>
          <w:i/>
          <w:sz w:val="24"/>
          <w:szCs w:val="24"/>
        </w:rPr>
        <w:t>Role of patent foramen ovale in migraine etiology and treatment: a review.</w:t>
      </w:r>
      <w:r w:rsidRPr="004B75B8">
        <w:rPr>
          <w:rFonts w:ascii="Arial" w:hAnsi="Arial" w:cs="Arial"/>
          <w:sz w:val="24"/>
          <w:szCs w:val="24"/>
        </w:rPr>
        <w:t xml:space="preserve"> Echocardiography, 2011. </w:t>
      </w:r>
      <w:r w:rsidRPr="004B75B8">
        <w:rPr>
          <w:rFonts w:ascii="Arial" w:hAnsi="Arial" w:cs="Arial"/>
          <w:b/>
          <w:sz w:val="24"/>
          <w:szCs w:val="24"/>
        </w:rPr>
        <w:t>28</w:t>
      </w:r>
      <w:r w:rsidRPr="004B75B8">
        <w:rPr>
          <w:rFonts w:ascii="Arial" w:hAnsi="Arial" w:cs="Arial"/>
          <w:sz w:val="24"/>
          <w:szCs w:val="24"/>
        </w:rPr>
        <w:t>(8): p. 913-7.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187.</w:t>
      </w:r>
      <w:r w:rsidRPr="004B75B8">
        <w:rPr>
          <w:rFonts w:ascii="Arial" w:hAnsi="Arial" w:cs="Arial"/>
          <w:sz w:val="24"/>
          <w:szCs w:val="24"/>
        </w:rPr>
        <w:tab/>
        <w:t xml:space="preserve">Butera, G., et al., </w:t>
      </w:r>
      <w:r w:rsidRPr="004B75B8">
        <w:rPr>
          <w:rFonts w:ascii="Arial" w:hAnsi="Arial" w:cs="Arial"/>
          <w:i/>
          <w:sz w:val="24"/>
          <w:szCs w:val="24"/>
        </w:rPr>
        <w:t xml:space="preserve">Systematic review and meta-analysis of currently available clinical evidence on migraine and patent foramen ovale </w:t>
      </w:r>
      <w:r w:rsidRPr="004B75B8">
        <w:rPr>
          <w:rFonts w:ascii="Arial" w:hAnsi="Arial" w:cs="Arial"/>
          <w:i/>
          <w:sz w:val="24"/>
          <w:szCs w:val="24"/>
        </w:rPr>
        <w:lastRenderedPageBreak/>
        <w:t>percutaneous closure: much ado about nothing?</w:t>
      </w:r>
      <w:r w:rsidRPr="004B75B8">
        <w:rPr>
          <w:rFonts w:ascii="Arial" w:hAnsi="Arial" w:cs="Arial"/>
          <w:sz w:val="24"/>
          <w:szCs w:val="24"/>
        </w:rPr>
        <w:t xml:space="preserve"> Catheter Cardiovasc Interv, 2010. </w:t>
      </w:r>
      <w:r w:rsidRPr="004B75B8">
        <w:rPr>
          <w:rFonts w:ascii="Arial" w:hAnsi="Arial" w:cs="Arial"/>
          <w:b/>
          <w:sz w:val="24"/>
          <w:szCs w:val="24"/>
        </w:rPr>
        <w:t>75</w:t>
      </w:r>
      <w:r w:rsidRPr="004B75B8">
        <w:rPr>
          <w:rFonts w:ascii="Arial" w:hAnsi="Arial" w:cs="Arial"/>
          <w:sz w:val="24"/>
          <w:szCs w:val="24"/>
        </w:rPr>
        <w:t>(4): p. 494-504.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188.</w:t>
      </w:r>
      <w:r w:rsidRPr="004B75B8">
        <w:rPr>
          <w:rFonts w:ascii="Arial" w:hAnsi="Arial" w:cs="Arial"/>
          <w:sz w:val="24"/>
          <w:szCs w:val="24"/>
        </w:rPr>
        <w:tab/>
        <w:t xml:space="preserve">Kato, Y., et al., </w:t>
      </w:r>
      <w:r w:rsidRPr="004B75B8">
        <w:rPr>
          <w:rFonts w:ascii="Arial" w:hAnsi="Arial" w:cs="Arial"/>
          <w:i/>
          <w:sz w:val="24"/>
          <w:szCs w:val="24"/>
        </w:rPr>
        <w:t>New-onset migraine with aura after transcatheter closure of atrial septal defect.</w:t>
      </w:r>
      <w:r w:rsidRPr="004B75B8">
        <w:rPr>
          <w:rFonts w:ascii="Arial" w:hAnsi="Arial" w:cs="Arial"/>
          <w:sz w:val="24"/>
          <w:szCs w:val="24"/>
        </w:rPr>
        <w:t xml:space="preserve"> J Headache Pain, 2012. </w:t>
      </w:r>
      <w:r w:rsidRPr="004B75B8">
        <w:rPr>
          <w:rFonts w:ascii="Arial" w:hAnsi="Arial" w:cs="Arial"/>
          <w:b/>
          <w:sz w:val="24"/>
          <w:szCs w:val="24"/>
        </w:rPr>
        <w:t>13</w:t>
      </w:r>
      <w:r w:rsidRPr="004B75B8">
        <w:rPr>
          <w:rFonts w:ascii="Arial" w:hAnsi="Arial" w:cs="Arial"/>
          <w:sz w:val="24"/>
          <w:szCs w:val="24"/>
        </w:rPr>
        <w:t>(6): p. 493-5.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189.</w:t>
      </w:r>
      <w:r w:rsidRPr="004B75B8">
        <w:rPr>
          <w:rFonts w:ascii="Arial" w:hAnsi="Arial" w:cs="Arial"/>
          <w:sz w:val="24"/>
          <w:szCs w:val="24"/>
        </w:rPr>
        <w:tab/>
        <w:t xml:space="preserve">Tembl, J., et al., </w:t>
      </w:r>
      <w:r w:rsidRPr="004B75B8">
        <w:rPr>
          <w:rFonts w:ascii="Arial" w:hAnsi="Arial" w:cs="Arial"/>
          <w:i/>
          <w:sz w:val="24"/>
          <w:szCs w:val="24"/>
        </w:rPr>
        <w:t>Migraine, patent foramen ovale and migraine triggers.</w:t>
      </w:r>
      <w:r w:rsidRPr="004B75B8">
        <w:rPr>
          <w:rFonts w:ascii="Arial" w:hAnsi="Arial" w:cs="Arial"/>
          <w:sz w:val="24"/>
          <w:szCs w:val="24"/>
        </w:rPr>
        <w:t xml:space="preserve"> J Headache Pain, 2007. </w:t>
      </w:r>
      <w:r w:rsidRPr="004B75B8">
        <w:rPr>
          <w:rFonts w:ascii="Arial" w:hAnsi="Arial" w:cs="Arial"/>
          <w:b/>
          <w:sz w:val="24"/>
          <w:szCs w:val="24"/>
        </w:rPr>
        <w:t>8</w:t>
      </w:r>
      <w:r w:rsidRPr="004B75B8">
        <w:rPr>
          <w:rFonts w:ascii="Arial" w:hAnsi="Arial" w:cs="Arial"/>
          <w:sz w:val="24"/>
          <w:szCs w:val="24"/>
        </w:rPr>
        <w:t>(1): p. 7-12.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190.</w:t>
      </w:r>
      <w:r w:rsidRPr="004B75B8">
        <w:rPr>
          <w:rFonts w:ascii="Arial" w:hAnsi="Arial" w:cs="Arial"/>
          <w:sz w:val="24"/>
          <w:szCs w:val="24"/>
        </w:rPr>
        <w:tab/>
        <w:t xml:space="preserve">Nozari, A., et al., </w:t>
      </w:r>
      <w:r w:rsidRPr="004B75B8">
        <w:rPr>
          <w:rFonts w:ascii="Arial" w:hAnsi="Arial" w:cs="Arial"/>
          <w:i/>
          <w:sz w:val="24"/>
          <w:szCs w:val="24"/>
        </w:rPr>
        <w:t>Microemboli may link spreading depression, migraine aura, and patent foramen ovale.</w:t>
      </w:r>
      <w:r w:rsidRPr="004B75B8">
        <w:rPr>
          <w:rFonts w:ascii="Arial" w:hAnsi="Arial" w:cs="Arial"/>
          <w:sz w:val="24"/>
          <w:szCs w:val="24"/>
        </w:rPr>
        <w:t xml:space="preserve"> Ann Neurol, 2010. </w:t>
      </w:r>
      <w:r w:rsidRPr="004B75B8">
        <w:rPr>
          <w:rFonts w:ascii="Arial" w:hAnsi="Arial" w:cs="Arial"/>
          <w:b/>
          <w:sz w:val="24"/>
          <w:szCs w:val="24"/>
        </w:rPr>
        <w:t>67</w:t>
      </w:r>
      <w:r w:rsidRPr="004B75B8">
        <w:rPr>
          <w:rFonts w:ascii="Arial" w:hAnsi="Arial" w:cs="Arial"/>
          <w:sz w:val="24"/>
          <w:szCs w:val="24"/>
        </w:rPr>
        <w:t>(2): p. 221-9.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191.</w:t>
      </w:r>
      <w:r w:rsidRPr="004B75B8">
        <w:rPr>
          <w:rFonts w:ascii="Arial" w:hAnsi="Arial" w:cs="Arial"/>
          <w:sz w:val="24"/>
          <w:szCs w:val="24"/>
        </w:rPr>
        <w:tab/>
        <w:t xml:space="preserve">Sevgi, E.B., et al., </w:t>
      </w:r>
      <w:r w:rsidRPr="004B75B8">
        <w:rPr>
          <w:rFonts w:ascii="Arial" w:hAnsi="Arial" w:cs="Arial"/>
          <w:i/>
          <w:sz w:val="24"/>
          <w:szCs w:val="24"/>
        </w:rPr>
        <w:t>Paradoxical air microembolism induces cerebral bioelectrical abnormalities and occasionally headache in patent foramen ovale patients with migraine.</w:t>
      </w:r>
      <w:r w:rsidRPr="004B75B8">
        <w:rPr>
          <w:rFonts w:ascii="Arial" w:hAnsi="Arial" w:cs="Arial"/>
          <w:sz w:val="24"/>
          <w:szCs w:val="24"/>
        </w:rPr>
        <w:t xml:space="preserve"> J Am Heart Assoc, 2012. </w:t>
      </w:r>
      <w:r w:rsidRPr="004B75B8">
        <w:rPr>
          <w:rFonts w:ascii="Arial" w:hAnsi="Arial" w:cs="Arial"/>
          <w:b/>
          <w:sz w:val="24"/>
          <w:szCs w:val="24"/>
        </w:rPr>
        <w:t>1</w:t>
      </w:r>
      <w:r w:rsidRPr="004B75B8">
        <w:rPr>
          <w:rFonts w:ascii="Arial" w:hAnsi="Arial" w:cs="Arial"/>
          <w:sz w:val="24"/>
          <w:szCs w:val="24"/>
        </w:rPr>
        <w:t>(6): p. e001735.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192.</w:t>
      </w:r>
      <w:r w:rsidRPr="004B75B8">
        <w:rPr>
          <w:rFonts w:ascii="Arial" w:hAnsi="Arial" w:cs="Arial"/>
          <w:sz w:val="24"/>
          <w:szCs w:val="24"/>
        </w:rPr>
        <w:tab/>
        <w:t xml:space="preserve">Prandota, J., </w:t>
      </w:r>
      <w:r w:rsidRPr="004B75B8">
        <w:rPr>
          <w:rFonts w:ascii="Arial" w:hAnsi="Arial" w:cs="Arial"/>
          <w:i/>
          <w:sz w:val="24"/>
          <w:szCs w:val="24"/>
        </w:rPr>
        <w:t>Migraine associated with patent foramen ovale may be caused by reactivation of cerebral toxoplasmosis triggered by arterial blood oxygen desaturation.</w:t>
      </w:r>
      <w:r w:rsidRPr="004B75B8">
        <w:rPr>
          <w:rFonts w:ascii="Arial" w:hAnsi="Arial" w:cs="Arial"/>
          <w:sz w:val="24"/>
          <w:szCs w:val="24"/>
        </w:rPr>
        <w:t xml:space="preserve"> Int J Neurosci, 2010. </w:t>
      </w:r>
      <w:r w:rsidRPr="004B75B8">
        <w:rPr>
          <w:rFonts w:ascii="Arial" w:hAnsi="Arial" w:cs="Arial"/>
          <w:b/>
          <w:sz w:val="24"/>
          <w:szCs w:val="24"/>
        </w:rPr>
        <w:t>120</w:t>
      </w:r>
      <w:r w:rsidRPr="004B75B8">
        <w:rPr>
          <w:rFonts w:ascii="Arial" w:hAnsi="Arial" w:cs="Arial"/>
          <w:sz w:val="24"/>
          <w:szCs w:val="24"/>
        </w:rPr>
        <w:t>(2): p. 81-7.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193.</w:t>
      </w:r>
      <w:r w:rsidRPr="004B75B8">
        <w:rPr>
          <w:rFonts w:ascii="Arial" w:hAnsi="Arial" w:cs="Arial"/>
          <w:sz w:val="24"/>
          <w:szCs w:val="24"/>
        </w:rPr>
        <w:tab/>
        <w:t xml:space="preserve">Grotemeyer, K.H., et al., </w:t>
      </w:r>
      <w:r w:rsidRPr="004B75B8">
        <w:rPr>
          <w:rFonts w:ascii="Arial" w:hAnsi="Arial" w:cs="Arial"/>
          <w:i/>
          <w:sz w:val="24"/>
          <w:szCs w:val="24"/>
        </w:rPr>
        <w:t>Acetylsalicylic acid vs. metoprolol in migraine prophylaxis--a double-blind cross-over study.</w:t>
      </w:r>
      <w:r w:rsidRPr="004B75B8">
        <w:rPr>
          <w:rFonts w:ascii="Arial" w:hAnsi="Arial" w:cs="Arial"/>
          <w:sz w:val="24"/>
          <w:szCs w:val="24"/>
        </w:rPr>
        <w:t xml:space="preserve"> Headache, 1990. </w:t>
      </w:r>
      <w:r w:rsidRPr="004B75B8">
        <w:rPr>
          <w:rFonts w:ascii="Arial" w:hAnsi="Arial" w:cs="Arial"/>
          <w:b/>
          <w:sz w:val="24"/>
          <w:szCs w:val="24"/>
        </w:rPr>
        <w:t>30</w:t>
      </w:r>
      <w:r w:rsidRPr="004B75B8">
        <w:rPr>
          <w:rFonts w:ascii="Arial" w:hAnsi="Arial" w:cs="Arial"/>
          <w:sz w:val="24"/>
          <w:szCs w:val="24"/>
        </w:rPr>
        <w:t>(10): p. 639-41.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194.</w:t>
      </w:r>
      <w:r w:rsidRPr="004B75B8">
        <w:rPr>
          <w:rFonts w:ascii="Arial" w:hAnsi="Arial" w:cs="Arial"/>
          <w:sz w:val="24"/>
          <w:szCs w:val="24"/>
        </w:rPr>
        <w:tab/>
        <w:t xml:space="preserve">Wilmshurst, P.T., et al., </w:t>
      </w:r>
      <w:r w:rsidRPr="004B75B8">
        <w:rPr>
          <w:rFonts w:ascii="Arial" w:hAnsi="Arial" w:cs="Arial"/>
          <w:i/>
          <w:sz w:val="24"/>
          <w:szCs w:val="24"/>
        </w:rPr>
        <w:t>Clopidogrel reduces migraine with aura after transcatheter closure of persistent foramen ovale and atrial septal defects.</w:t>
      </w:r>
      <w:r w:rsidRPr="004B75B8">
        <w:rPr>
          <w:rFonts w:ascii="Arial" w:hAnsi="Arial" w:cs="Arial"/>
          <w:sz w:val="24"/>
          <w:szCs w:val="24"/>
        </w:rPr>
        <w:t xml:space="preserve"> Heart, 2005. </w:t>
      </w:r>
      <w:r w:rsidRPr="004B75B8">
        <w:rPr>
          <w:rFonts w:ascii="Arial" w:hAnsi="Arial" w:cs="Arial"/>
          <w:b/>
          <w:sz w:val="24"/>
          <w:szCs w:val="24"/>
        </w:rPr>
        <w:t>91</w:t>
      </w:r>
      <w:r w:rsidRPr="004B75B8">
        <w:rPr>
          <w:rFonts w:ascii="Arial" w:hAnsi="Arial" w:cs="Arial"/>
          <w:sz w:val="24"/>
          <w:szCs w:val="24"/>
        </w:rPr>
        <w:t>(9): p. 1173-5.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195.</w:t>
      </w:r>
      <w:r w:rsidRPr="004B75B8">
        <w:rPr>
          <w:rFonts w:ascii="Arial" w:hAnsi="Arial" w:cs="Arial"/>
          <w:sz w:val="24"/>
          <w:szCs w:val="24"/>
        </w:rPr>
        <w:tab/>
        <w:t xml:space="preserve">Borgdorff, P. and G.J. Tangelder, </w:t>
      </w:r>
      <w:r w:rsidRPr="004B75B8">
        <w:rPr>
          <w:rFonts w:ascii="Arial" w:hAnsi="Arial" w:cs="Arial"/>
          <w:i/>
          <w:sz w:val="24"/>
          <w:szCs w:val="24"/>
        </w:rPr>
        <w:t>Migraine: possible role of shear-induced platelet aggregation with serotonin release.</w:t>
      </w:r>
      <w:r w:rsidRPr="004B75B8">
        <w:rPr>
          <w:rFonts w:ascii="Arial" w:hAnsi="Arial" w:cs="Arial"/>
          <w:sz w:val="24"/>
          <w:szCs w:val="24"/>
        </w:rPr>
        <w:t xml:space="preserve"> Headache, 2012. </w:t>
      </w:r>
      <w:r w:rsidRPr="004B75B8">
        <w:rPr>
          <w:rFonts w:ascii="Arial" w:hAnsi="Arial" w:cs="Arial"/>
          <w:b/>
          <w:sz w:val="24"/>
          <w:szCs w:val="24"/>
        </w:rPr>
        <w:t>52</w:t>
      </w:r>
      <w:r w:rsidRPr="004B75B8">
        <w:rPr>
          <w:rFonts w:ascii="Arial" w:hAnsi="Arial" w:cs="Arial"/>
          <w:sz w:val="24"/>
          <w:szCs w:val="24"/>
        </w:rPr>
        <w:t>(8): p. 1298-318.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196.</w:t>
      </w:r>
      <w:r w:rsidRPr="004B75B8">
        <w:rPr>
          <w:rFonts w:ascii="Arial" w:hAnsi="Arial" w:cs="Arial"/>
          <w:sz w:val="24"/>
          <w:szCs w:val="24"/>
        </w:rPr>
        <w:tab/>
        <w:t xml:space="preserve">Wolf, M.E., et al., </w:t>
      </w:r>
      <w:r w:rsidRPr="004B75B8">
        <w:rPr>
          <w:rFonts w:ascii="Arial" w:hAnsi="Arial" w:cs="Arial"/>
          <w:i/>
          <w:sz w:val="24"/>
          <w:szCs w:val="24"/>
        </w:rPr>
        <w:t>Clinical and MRI characteristics of acute migrainous infarction.</w:t>
      </w:r>
      <w:r w:rsidRPr="004B75B8">
        <w:rPr>
          <w:rFonts w:ascii="Arial" w:hAnsi="Arial" w:cs="Arial"/>
          <w:sz w:val="24"/>
          <w:szCs w:val="24"/>
        </w:rPr>
        <w:t xml:space="preserve"> Neurology, 2011. </w:t>
      </w:r>
      <w:r w:rsidRPr="004B75B8">
        <w:rPr>
          <w:rFonts w:ascii="Arial" w:hAnsi="Arial" w:cs="Arial"/>
          <w:b/>
          <w:sz w:val="24"/>
          <w:szCs w:val="24"/>
        </w:rPr>
        <w:t>76</w:t>
      </w:r>
      <w:r w:rsidRPr="004B75B8">
        <w:rPr>
          <w:rFonts w:ascii="Arial" w:hAnsi="Arial" w:cs="Arial"/>
          <w:sz w:val="24"/>
          <w:szCs w:val="24"/>
        </w:rPr>
        <w:t>(22): p. 1911-7.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197.</w:t>
      </w:r>
      <w:r w:rsidRPr="004B75B8">
        <w:rPr>
          <w:rFonts w:ascii="Arial" w:hAnsi="Arial" w:cs="Arial"/>
          <w:sz w:val="24"/>
          <w:szCs w:val="24"/>
        </w:rPr>
        <w:tab/>
        <w:t xml:space="preserve">Lantz, M., et al., </w:t>
      </w:r>
      <w:r w:rsidRPr="004B75B8">
        <w:rPr>
          <w:rFonts w:ascii="Arial" w:hAnsi="Arial" w:cs="Arial"/>
          <w:i/>
          <w:sz w:val="24"/>
          <w:szCs w:val="24"/>
        </w:rPr>
        <w:t>Prevalence of migraine headache in an in-patient stroke population.</w:t>
      </w:r>
      <w:r w:rsidRPr="004B75B8">
        <w:rPr>
          <w:rFonts w:ascii="Arial" w:hAnsi="Arial" w:cs="Arial"/>
          <w:sz w:val="24"/>
          <w:szCs w:val="24"/>
        </w:rPr>
        <w:t xml:space="preserve"> Acta Neurol Scand, 2015. </w:t>
      </w:r>
      <w:r w:rsidRPr="004B75B8">
        <w:rPr>
          <w:rFonts w:ascii="Arial" w:hAnsi="Arial" w:cs="Arial"/>
          <w:b/>
          <w:sz w:val="24"/>
          <w:szCs w:val="24"/>
        </w:rPr>
        <w:t>131</w:t>
      </w:r>
      <w:r w:rsidRPr="004B75B8">
        <w:rPr>
          <w:rFonts w:ascii="Arial" w:hAnsi="Arial" w:cs="Arial"/>
          <w:sz w:val="24"/>
          <w:szCs w:val="24"/>
        </w:rPr>
        <w:t>(5): p. 290-7.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198.</w:t>
      </w:r>
      <w:r w:rsidRPr="004B75B8">
        <w:rPr>
          <w:rFonts w:ascii="Arial" w:hAnsi="Arial" w:cs="Arial"/>
          <w:sz w:val="24"/>
          <w:szCs w:val="24"/>
        </w:rPr>
        <w:tab/>
        <w:t xml:space="preserve">Wilmshurst, P.T., et al., </w:t>
      </w:r>
      <w:r w:rsidRPr="004B75B8">
        <w:rPr>
          <w:rFonts w:ascii="Arial" w:hAnsi="Arial" w:cs="Arial"/>
          <w:i/>
          <w:sz w:val="24"/>
          <w:szCs w:val="24"/>
        </w:rPr>
        <w:t>Effect on migraine of closure of cardiac right-to-left shunts to prevent recurrence of decompression illness or stroke or for haemodynamic reasons.</w:t>
      </w:r>
      <w:r w:rsidRPr="004B75B8">
        <w:rPr>
          <w:rFonts w:ascii="Arial" w:hAnsi="Arial" w:cs="Arial"/>
          <w:sz w:val="24"/>
          <w:szCs w:val="24"/>
        </w:rPr>
        <w:t xml:space="preserve"> Lancet, 2000. </w:t>
      </w:r>
      <w:r w:rsidRPr="004B75B8">
        <w:rPr>
          <w:rFonts w:ascii="Arial" w:hAnsi="Arial" w:cs="Arial"/>
          <w:b/>
          <w:sz w:val="24"/>
          <w:szCs w:val="24"/>
        </w:rPr>
        <w:t>356</w:t>
      </w:r>
      <w:r w:rsidRPr="004B75B8">
        <w:rPr>
          <w:rFonts w:ascii="Arial" w:hAnsi="Arial" w:cs="Arial"/>
          <w:sz w:val="24"/>
          <w:szCs w:val="24"/>
        </w:rPr>
        <w:t>(9242): p. 1648-51.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199.</w:t>
      </w:r>
      <w:r w:rsidRPr="004B75B8">
        <w:rPr>
          <w:rFonts w:ascii="Arial" w:hAnsi="Arial" w:cs="Arial"/>
          <w:sz w:val="24"/>
          <w:szCs w:val="24"/>
        </w:rPr>
        <w:tab/>
        <w:t xml:space="preserve">Dowson, A., et al., </w:t>
      </w:r>
      <w:r w:rsidRPr="004B75B8">
        <w:rPr>
          <w:rFonts w:ascii="Arial" w:hAnsi="Arial" w:cs="Arial"/>
          <w:i/>
          <w:sz w:val="24"/>
          <w:szCs w:val="24"/>
        </w:rPr>
        <w:t>Migraine Intervention With STARFlex Technology (MIST) trial: a prospective, multicenter, double-blind, sham-controlled trial to evaluate the effectiveness of patent foramen ovale closure with STARFlex septal repair implant to resolve refractory migraine headache.</w:t>
      </w:r>
      <w:r w:rsidRPr="004B75B8">
        <w:rPr>
          <w:rFonts w:ascii="Arial" w:hAnsi="Arial" w:cs="Arial"/>
          <w:sz w:val="24"/>
          <w:szCs w:val="24"/>
        </w:rPr>
        <w:t xml:space="preserve"> Circulation, 2008. </w:t>
      </w:r>
      <w:r w:rsidRPr="004B75B8">
        <w:rPr>
          <w:rFonts w:ascii="Arial" w:hAnsi="Arial" w:cs="Arial"/>
          <w:b/>
          <w:sz w:val="24"/>
          <w:szCs w:val="24"/>
        </w:rPr>
        <w:t>117</w:t>
      </w:r>
      <w:r w:rsidRPr="004B75B8">
        <w:rPr>
          <w:rFonts w:ascii="Arial" w:hAnsi="Arial" w:cs="Arial"/>
          <w:sz w:val="24"/>
          <w:szCs w:val="24"/>
        </w:rPr>
        <w:t>(11): p. 1397-404.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200.</w:t>
      </w:r>
      <w:r w:rsidRPr="004B75B8">
        <w:rPr>
          <w:rFonts w:ascii="Arial" w:hAnsi="Arial" w:cs="Arial"/>
          <w:sz w:val="24"/>
          <w:szCs w:val="24"/>
        </w:rPr>
        <w:tab/>
        <w:t xml:space="preserve">Berdat, P.A., et al., </w:t>
      </w:r>
      <w:r w:rsidRPr="004B75B8">
        <w:rPr>
          <w:rFonts w:ascii="Arial" w:hAnsi="Arial" w:cs="Arial"/>
          <w:i/>
          <w:sz w:val="24"/>
          <w:szCs w:val="24"/>
        </w:rPr>
        <w:t>Surgical management of complications after transcatheter closure of an atrial septal defect or patent foramen ovale.</w:t>
      </w:r>
      <w:r w:rsidRPr="004B75B8">
        <w:rPr>
          <w:rFonts w:ascii="Arial" w:hAnsi="Arial" w:cs="Arial"/>
          <w:sz w:val="24"/>
          <w:szCs w:val="24"/>
        </w:rPr>
        <w:t xml:space="preserve"> J Thorac Cardiovasc Surg, 2000. </w:t>
      </w:r>
      <w:r w:rsidRPr="004B75B8">
        <w:rPr>
          <w:rFonts w:ascii="Arial" w:hAnsi="Arial" w:cs="Arial"/>
          <w:b/>
          <w:sz w:val="24"/>
          <w:szCs w:val="24"/>
        </w:rPr>
        <w:t>120</w:t>
      </w:r>
      <w:r w:rsidRPr="004B75B8">
        <w:rPr>
          <w:rFonts w:ascii="Arial" w:hAnsi="Arial" w:cs="Arial"/>
          <w:sz w:val="24"/>
          <w:szCs w:val="24"/>
        </w:rPr>
        <w:t>(6): p. 1034-9.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201.</w:t>
      </w:r>
      <w:r w:rsidRPr="004B75B8">
        <w:rPr>
          <w:rFonts w:ascii="Arial" w:hAnsi="Arial" w:cs="Arial"/>
          <w:sz w:val="24"/>
          <w:szCs w:val="24"/>
        </w:rPr>
        <w:tab/>
        <w:t xml:space="preserve">Harriott, A.M. and K.M. Barrett, </w:t>
      </w:r>
      <w:r w:rsidRPr="004B75B8">
        <w:rPr>
          <w:rFonts w:ascii="Arial" w:hAnsi="Arial" w:cs="Arial"/>
          <w:i/>
          <w:sz w:val="24"/>
          <w:szCs w:val="24"/>
        </w:rPr>
        <w:t>Dissecting the association between migraine and stroke.</w:t>
      </w:r>
      <w:r w:rsidRPr="004B75B8">
        <w:rPr>
          <w:rFonts w:ascii="Arial" w:hAnsi="Arial" w:cs="Arial"/>
          <w:sz w:val="24"/>
          <w:szCs w:val="24"/>
        </w:rPr>
        <w:t xml:space="preserve"> Curr Neurol Neurosci Rep, 2015. </w:t>
      </w:r>
      <w:r w:rsidRPr="004B75B8">
        <w:rPr>
          <w:rFonts w:ascii="Arial" w:hAnsi="Arial" w:cs="Arial"/>
          <w:b/>
          <w:sz w:val="24"/>
          <w:szCs w:val="24"/>
        </w:rPr>
        <w:t>15</w:t>
      </w:r>
      <w:r w:rsidRPr="004B75B8">
        <w:rPr>
          <w:rFonts w:ascii="Arial" w:hAnsi="Arial" w:cs="Arial"/>
          <w:sz w:val="24"/>
          <w:szCs w:val="24"/>
        </w:rPr>
        <w:t>(3): p. 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202.</w:t>
      </w:r>
      <w:r w:rsidRPr="004B75B8">
        <w:rPr>
          <w:rFonts w:ascii="Arial" w:hAnsi="Arial" w:cs="Arial"/>
          <w:sz w:val="24"/>
          <w:szCs w:val="24"/>
        </w:rPr>
        <w:tab/>
        <w:t xml:space="preserve">Gudmundsson, L.S., et al., </w:t>
      </w:r>
      <w:r w:rsidRPr="004B75B8">
        <w:rPr>
          <w:rFonts w:ascii="Arial" w:hAnsi="Arial" w:cs="Arial"/>
          <w:i/>
          <w:sz w:val="24"/>
          <w:szCs w:val="24"/>
        </w:rPr>
        <w:t>Migraine with aura and risk of cardiovascular and all cause mortality in men and women: prospective cohort study.</w:t>
      </w:r>
      <w:r w:rsidRPr="004B75B8">
        <w:rPr>
          <w:rFonts w:ascii="Arial" w:hAnsi="Arial" w:cs="Arial"/>
          <w:sz w:val="24"/>
          <w:szCs w:val="24"/>
        </w:rPr>
        <w:t xml:space="preserve"> BMJ, 2010. </w:t>
      </w:r>
      <w:r w:rsidRPr="004B75B8">
        <w:rPr>
          <w:rFonts w:ascii="Arial" w:hAnsi="Arial" w:cs="Arial"/>
          <w:b/>
          <w:sz w:val="24"/>
          <w:szCs w:val="24"/>
        </w:rPr>
        <w:t>341</w:t>
      </w:r>
      <w:r w:rsidRPr="004B75B8">
        <w:rPr>
          <w:rFonts w:ascii="Arial" w:hAnsi="Arial" w:cs="Arial"/>
          <w:sz w:val="24"/>
          <w:szCs w:val="24"/>
        </w:rPr>
        <w:t>: p. c3966.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203.</w:t>
      </w:r>
      <w:r w:rsidRPr="004B75B8">
        <w:rPr>
          <w:rFonts w:ascii="Arial" w:hAnsi="Arial" w:cs="Arial"/>
          <w:sz w:val="24"/>
          <w:szCs w:val="24"/>
        </w:rPr>
        <w:tab/>
        <w:t xml:space="preserve">Lee, M.J., C. Lee, and C.S. Chung, </w:t>
      </w:r>
      <w:r w:rsidRPr="004B75B8">
        <w:rPr>
          <w:rFonts w:ascii="Arial" w:hAnsi="Arial" w:cs="Arial"/>
          <w:i/>
          <w:sz w:val="24"/>
          <w:szCs w:val="24"/>
        </w:rPr>
        <w:t>The Migraine-Stroke Connection.</w:t>
      </w:r>
      <w:r w:rsidRPr="004B75B8">
        <w:rPr>
          <w:rFonts w:ascii="Arial" w:hAnsi="Arial" w:cs="Arial"/>
          <w:sz w:val="24"/>
          <w:szCs w:val="24"/>
        </w:rPr>
        <w:t xml:space="preserve"> J Stroke, 2016. </w:t>
      </w:r>
      <w:r w:rsidRPr="004B75B8">
        <w:rPr>
          <w:rFonts w:ascii="Arial" w:hAnsi="Arial" w:cs="Arial"/>
          <w:b/>
          <w:sz w:val="24"/>
          <w:szCs w:val="24"/>
        </w:rPr>
        <w:t>18</w:t>
      </w:r>
      <w:r w:rsidRPr="004B75B8">
        <w:rPr>
          <w:rFonts w:ascii="Arial" w:hAnsi="Arial" w:cs="Arial"/>
          <w:sz w:val="24"/>
          <w:szCs w:val="24"/>
        </w:rPr>
        <w:t>(2): p. 146-56.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204.</w:t>
      </w:r>
      <w:r w:rsidRPr="004B75B8">
        <w:rPr>
          <w:rFonts w:ascii="Arial" w:hAnsi="Arial" w:cs="Arial"/>
          <w:sz w:val="24"/>
          <w:szCs w:val="24"/>
        </w:rPr>
        <w:tab/>
        <w:t xml:space="preserve">Sacco, S. and T. Kurth, </w:t>
      </w:r>
      <w:r w:rsidRPr="004B75B8">
        <w:rPr>
          <w:rFonts w:ascii="Arial" w:hAnsi="Arial" w:cs="Arial"/>
          <w:i/>
          <w:sz w:val="24"/>
          <w:szCs w:val="24"/>
        </w:rPr>
        <w:t>Migraine and the risk for stroke and cardiovascular disease.</w:t>
      </w:r>
      <w:r w:rsidRPr="004B75B8">
        <w:rPr>
          <w:rFonts w:ascii="Arial" w:hAnsi="Arial" w:cs="Arial"/>
          <w:sz w:val="24"/>
          <w:szCs w:val="24"/>
        </w:rPr>
        <w:t xml:space="preserve"> Curr Cardiol Rep, 2014. </w:t>
      </w:r>
      <w:r w:rsidRPr="004B75B8">
        <w:rPr>
          <w:rFonts w:ascii="Arial" w:hAnsi="Arial" w:cs="Arial"/>
          <w:b/>
          <w:sz w:val="24"/>
          <w:szCs w:val="24"/>
        </w:rPr>
        <w:t>16</w:t>
      </w:r>
      <w:r w:rsidRPr="004B75B8">
        <w:rPr>
          <w:rFonts w:ascii="Arial" w:hAnsi="Arial" w:cs="Arial"/>
          <w:sz w:val="24"/>
          <w:szCs w:val="24"/>
        </w:rPr>
        <w:t>(9): p. 524.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205.</w:t>
      </w:r>
      <w:r w:rsidRPr="004B75B8">
        <w:rPr>
          <w:rFonts w:ascii="Arial" w:hAnsi="Arial" w:cs="Arial"/>
          <w:sz w:val="24"/>
          <w:szCs w:val="24"/>
        </w:rPr>
        <w:tab/>
        <w:t xml:space="preserve">Kurth, T., et al., </w:t>
      </w:r>
      <w:r w:rsidRPr="004B75B8">
        <w:rPr>
          <w:rFonts w:ascii="Arial" w:hAnsi="Arial" w:cs="Arial"/>
          <w:i/>
          <w:sz w:val="24"/>
          <w:szCs w:val="24"/>
        </w:rPr>
        <w:t>Migraine and risk of cardiovascular disease in women: prospective cohort study.</w:t>
      </w:r>
      <w:r w:rsidRPr="004B75B8">
        <w:rPr>
          <w:rFonts w:ascii="Arial" w:hAnsi="Arial" w:cs="Arial"/>
          <w:sz w:val="24"/>
          <w:szCs w:val="24"/>
        </w:rPr>
        <w:t xml:space="preserve"> BMJ, 2016. </w:t>
      </w:r>
      <w:r w:rsidRPr="004B75B8">
        <w:rPr>
          <w:rFonts w:ascii="Arial" w:hAnsi="Arial" w:cs="Arial"/>
          <w:b/>
          <w:sz w:val="24"/>
          <w:szCs w:val="24"/>
        </w:rPr>
        <w:t>353</w:t>
      </w:r>
      <w:r w:rsidRPr="004B75B8">
        <w:rPr>
          <w:rFonts w:ascii="Arial" w:hAnsi="Arial" w:cs="Arial"/>
          <w:sz w:val="24"/>
          <w:szCs w:val="24"/>
        </w:rPr>
        <w:t>: p. i2610.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206.</w:t>
      </w:r>
      <w:r w:rsidRPr="004B75B8">
        <w:rPr>
          <w:rFonts w:ascii="Arial" w:hAnsi="Arial" w:cs="Arial"/>
          <w:sz w:val="24"/>
          <w:szCs w:val="24"/>
        </w:rPr>
        <w:tab/>
        <w:t xml:space="preserve">O'Keeffe, S.T., N.P. Tsapatsaris, and W.P. Beetham, Jr., </w:t>
      </w:r>
      <w:r w:rsidRPr="004B75B8">
        <w:rPr>
          <w:rFonts w:ascii="Arial" w:hAnsi="Arial" w:cs="Arial"/>
          <w:i/>
          <w:sz w:val="24"/>
          <w:szCs w:val="24"/>
        </w:rPr>
        <w:t>Association between Raynaud's phenomenon and migraine in a random population of hospital employees.</w:t>
      </w:r>
      <w:r w:rsidRPr="004B75B8">
        <w:rPr>
          <w:rFonts w:ascii="Arial" w:hAnsi="Arial" w:cs="Arial"/>
          <w:sz w:val="24"/>
          <w:szCs w:val="24"/>
        </w:rPr>
        <w:t xml:space="preserve"> J Rheumatol, 1993. </w:t>
      </w:r>
      <w:r w:rsidRPr="004B75B8">
        <w:rPr>
          <w:rFonts w:ascii="Arial" w:hAnsi="Arial" w:cs="Arial"/>
          <w:b/>
          <w:sz w:val="24"/>
          <w:szCs w:val="24"/>
        </w:rPr>
        <w:t>20</w:t>
      </w:r>
      <w:r w:rsidRPr="004B75B8">
        <w:rPr>
          <w:rFonts w:ascii="Arial" w:hAnsi="Arial" w:cs="Arial"/>
          <w:sz w:val="24"/>
          <w:szCs w:val="24"/>
        </w:rPr>
        <w:t>(7): p. 1187-8.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207.</w:t>
      </w:r>
      <w:r w:rsidRPr="004B75B8">
        <w:rPr>
          <w:rFonts w:ascii="Arial" w:hAnsi="Arial" w:cs="Arial"/>
          <w:sz w:val="24"/>
          <w:szCs w:val="24"/>
        </w:rPr>
        <w:tab/>
        <w:t xml:space="preserve">Wang, Y.C., et al., </w:t>
      </w:r>
      <w:r w:rsidRPr="004B75B8">
        <w:rPr>
          <w:rFonts w:ascii="Arial" w:hAnsi="Arial" w:cs="Arial"/>
          <w:i/>
          <w:sz w:val="24"/>
          <w:szCs w:val="24"/>
        </w:rPr>
        <w:t>Increased risk of ischemic heart disease in young patients with migraine: a population-based, propensity score-matched, longitudinal follow-up study.</w:t>
      </w:r>
      <w:r w:rsidRPr="004B75B8">
        <w:rPr>
          <w:rFonts w:ascii="Arial" w:hAnsi="Arial" w:cs="Arial"/>
          <w:sz w:val="24"/>
          <w:szCs w:val="24"/>
        </w:rPr>
        <w:t xml:space="preserve"> Int J Cardiol, 2014. </w:t>
      </w:r>
      <w:r w:rsidRPr="004B75B8">
        <w:rPr>
          <w:rFonts w:ascii="Arial" w:hAnsi="Arial" w:cs="Arial"/>
          <w:b/>
          <w:sz w:val="24"/>
          <w:szCs w:val="24"/>
        </w:rPr>
        <w:t>172</w:t>
      </w:r>
      <w:r w:rsidRPr="004B75B8">
        <w:rPr>
          <w:rFonts w:ascii="Arial" w:hAnsi="Arial" w:cs="Arial"/>
          <w:sz w:val="24"/>
          <w:szCs w:val="24"/>
        </w:rPr>
        <w:t>(1): p. 213-6.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208.</w:t>
      </w:r>
      <w:r w:rsidRPr="004B75B8">
        <w:rPr>
          <w:rFonts w:ascii="Arial" w:hAnsi="Arial" w:cs="Arial"/>
          <w:sz w:val="24"/>
          <w:szCs w:val="24"/>
        </w:rPr>
        <w:tab/>
        <w:t xml:space="preserve">Sacco, S., et al., </w:t>
      </w:r>
      <w:r w:rsidRPr="004B75B8">
        <w:rPr>
          <w:rFonts w:ascii="Arial" w:hAnsi="Arial" w:cs="Arial"/>
          <w:i/>
          <w:sz w:val="24"/>
          <w:szCs w:val="24"/>
        </w:rPr>
        <w:t>Migraine and hemorrhagic stroke: a meta-analysis.</w:t>
      </w:r>
      <w:r w:rsidRPr="004B75B8">
        <w:rPr>
          <w:rFonts w:ascii="Arial" w:hAnsi="Arial" w:cs="Arial"/>
          <w:sz w:val="24"/>
          <w:szCs w:val="24"/>
        </w:rPr>
        <w:t xml:space="preserve"> Stroke, 2013. </w:t>
      </w:r>
      <w:r w:rsidRPr="004B75B8">
        <w:rPr>
          <w:rFonts w:ascii="Arial" w:hAnsi="Arial" w:cs="Arial"/>
          <w:b/>
          <w:sz w:val="24"/>
          <w:szCs w:val="24"/>
        </w:rPr>
        <w:t>44</w:t>
      </w:r>
      <w:r w:rsidRPr="004B75B8">
        <w:rPr>
          <w:rFonts w:ascii="Arial" w:hAnsi="Arial" w:cs="Arial"/>
          <w:sz w:val="24"/>
          <w:szCs w:val="24"/>
        </w:rPr>
        <w:t>(11): p. 3032-8.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209.</w:t>
      </w:r>
      <w:r w:rsidRPr="004B75B8">
        <w:rPr>
          <w:rFonts w:ascii="Arial" w:hAnsi="Arial" w:cs="Arial"/>
          <w:sz w:val="24"/>
          <w:szCs w:val="24"/>
        </w:rPr>
        <w:tab/>
        <w:t xml:space="preserve">Sacco, S., S. Ricci, and A. Carolei, </w:t>
      </w:r>
      <w:r w:rsidRPr="004B75B8">
        <w:rPr>
          <w:rFonts w:ascii="Arial" w:hAnsi="Arial" w:cs="Arial"/>
          <w:i/>
          <w:sz w:val="24"/>
          <w:szCs w:val="24"/>
        </w:rPr>
        <w:t>Migraine and vascular diseases: a review of the evidence and potential implications for management.</w:t>
      </w:r>
      <w:r w:rsidRPr="004B75B8">
        <w:rPr>
          <w:rFonts w:ascii="Arial" w:hAnsi="Arial" w:cs="Arial"/>
          <w:sz w:val="24"/>
          <w:szCs w:val="24"/>
        </w:rPr>
        <w:t xml:space="preserve"> Cephalalgia, 2012. </w:t>
      </w:r>
      <w:r w:rsidRPr="004B75B8">
        <w:rPr>
          <w:rFonts w:ascii="Arial" w:hAnsi="Arial" w:cs="Arial"/>
          <w:b/>
          <w:sz w:val="24"/>
          <w:szCs w:val="24"/>
        </w:rPr>
        <w:t>32</w:t>
      </w:r>
      <w:r w:rsidRPr="004B75B8">
        <w:rPr>
          <w:rFonts w:ascii="Arial" w:hAnsi="Arial" w:cs="Arial"/>
          <w:sz w:val="24"/>
          <w:szCs w:val="24"/>
        </w:rPr>
        <w:t>(10): p. 785-95.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210.</w:t>
      </w:r>
      <w:r w:rsidRPr="004B75B8">
        <w:rPr>
          <w:rFonts w:ascii="Arial" w:hAnsi="Arial" w:cs="Arial"/>
          <w:sz w:val="24"/>
          <w:szCs w:val="24"/>
        </w:rPr>
        <w:tab/>
        <w:t xml:space="preserve">Gaist, D., et al., </w:t>
      </w:r>
      <w:r w:rsidRPr="004B75B8">
        <w:rPr>
          <w:rFonts w:ascii="Arial" w:hAnsi="Arial" w:cs="Arial"/>
          <w:i/>
          <w:sz w:val="24"/>
          <w:szCs w:val="24"/>
        </w:rPr>
        <w:t>Migraine and risk of hemorrhagic stroke: a study based on data from general practice.</w:t>
      </w:r>
      <w:r w:rsidRPr="004B75B8">
        <w:rPr>
          <w:rFonts w:ascii="Arial" w:hAnsi="Arial" w:cs="Arial"/>
          <w:sz w:val="24"/>
          <w:szCs w:val="24"/>
        </w:rPr>
        <w:t xml:space="preserve"> J Headache Pain, 2014. </w:t>
      </w:r>
      <w:r w:rsidRPr="004B75B8">
        <w:rPr>
          <w:rFonts w:ascii="Arial" w:hAnsi="Arial" w:cs="Arial"/>
          <w:b/>
          <w:sz w:val="24"/>
          <w:szCs w:val="24"/>
        </w:rPr>
        <w:t>15</w:t>
      </w:r>
      <w:r w:rsidRPr="004B75B8">
        <w:rPr>
          <w:rFonts w:ascii="Arial" w:hAnsi="Arial" w:cs="Arial"/>
          <w:sz w:val="24"/>
          <w:szCs w:val="24"/>
        </w:rPr>
        <w:t>: p. 74.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211.</w:t>
      </w:r>
      <w:r w:rsidRPr="004B75B8">
        <w:rPr>
          <w:rFonts w:ascii="Arial" w:hAnsi="Arial" w:cs="Arial"/>
          <w:sz w:val="24"/>
          <w:szCs w:val="24"/>
        </w:rPr>
        <w:tab/>
        <w:t xml:space="preserve">Etminan, M., et al., </w:t>
      </w:r>
      <w:r w:rsidRPr="004B75B8">
        <w:rPr>
          <w:rFonts w:ascii="Arial" w:hAnsi="Arial" w:cs="Arial"/>
          <w:i/>
          <w:sz w:val="24"/>
          <w:szCs w:val="24"/>
        </w:rPr>
        <w:t>Risk of ischaemic stroke in people with migraine: systematic review and meta-analysis of observational studies.</w:t>
      </w:r>
      <w:r w:rsidRPr="004B75B8">
        <w:rPr>
          <w:rFonts w:ascii="Arial" w:hAnsi="Arial" w:cs="Arial"/>
          <w:sz w:val="24"/>
          <w:szCs w:val="24"/>
        </w:rPr>
        <w:t xml:space="preserve"> BMJ, 2005. </w:t>
      </w:r>
      <w:r w:rsidRPr="004B75B8">
        <w:rPr>
          <w:rFonts w:ascii="Arial" w:hAnsi="Arial" w:cs="Arial"/>
          <w:b/>
          <w:sz w:val="24"/>
          <w:szCs w:val="24"/>
        </w:rPr>
        <w:t>330</w:t>
      </w:r>
      <w:r w:rsidRPr="004B75B8">
        <w:rPr>
          <w:rFonts w:ascii="Arial" w:hAnsi="Arial" w:cs="Arial"/>
          <w:sz w:val="24"/>
          <w:szCs w:val="24"/>
        </w:rPr>
        <w:t>(7482): p. 63.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212.</w:t>
      </w:r>
      <w:r w:rsidRPr="004B75B8">
        <w:rPr>
          <w:rFonts w:ascii="Arial" w:hAnsi="Arial" w:cs="Arial"/>
          <w:sz w:val="24"/>
          <w:szCs w:val="24"/>
        </w:rPr>
        <w:tab/>
        <w:t xml:space="preserve">Spector, J.T., et al., </w:t>
      </w:r>
      <w:r w:rsidRPr="004B75B8">
        <w:rPr>
          <w:rFonts w:ascii="Arial" w:hAnsi="Arial" w:cs="Arial"/>
          <w:i/>
          <w:sz w:val="24"/>
          <w:szCs w:val="24"/>
        </w:rPr>
        <w:t>Migraine headache and ischemic stroke risk: an updated meta-analysis.</w:t>
      </w:r>
      <w:r w:rsidRPr="004B75B8">
        <w:rPr>
          <w:rFonts w:ascii="Arial" w:hAnsi="Arial" w:cs="Arial"/>
          <w:sz w:val="24"/>
          <w:szCs w:val="24"/>
        </w:rPr>
        <w:t xml:space="preserve"> Am J Med, 2010. </w:t>
      </w:r>
      <w:r w:rsidRPr="004B75B8">
        <w:rPr>
          <w:rFonts w:ascii="Arial" w:hAnsi="Arial" w:cs="Arial"/>
          <w:b/>
          <w:sz w:val="24"/>
          <w:szCs w:val="24"/>
        </w:rPr>
        <w:t>123</w:t>
      </w:r>
      <w:r w:rsidRPr="004B75B8">
        <w:rPr>
          <w:rFonts w:ascii="Arial" w:hAnsi="Arial" w:cs="Arial"/>
          <w:sz w:val="24"/>
          <w:szCs w:val="24"/>
        </w:rPr>
        <w:t>(7): p. 612-24.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213.</w:t>
      </w:r>
      <w:r w:rsidRPr="004B75B8">
        <w:rPr>
          <w:rFonts w:ascii="Arial" w:hAnsi="Arial" w:cs="Arial"/>
          <w:sz w:val="24"/>
          <w:szCs w:val="24"/>
        </w:rPr>
        <w:tab/>
        <w:t xml:space="preserve">Kurth, T., H. Chabriat, and M.G. Bousser, </w:t>
      </w:r>
      <w:r w:rsidRPr="004B75B8">
        <w:rPr>
          <w:rFonts w:ascii="Arial" w:hAnsi="Arial" w:cs="Arial"/>
          <w:i/>
          <w:sz w:val="24"/>
          <w:szCs w:val="24"/>
        </w:rPr>
        <w:t>Migraine and stroke: a complex association with clinical implications.</w:t>
      </w:r>
      <w:r w:rsidRPr="004B75B8">
        <w:rPr>
          <w:rFonts w:ascii="Arial" w:hAnsi="Arial" w:cs="Arial"/>
          <w:sz w:val="24"/>
          <w:szCs w:val="24"/>
        </w:rPr>
        <w:t xml:space="preserve"> Lancet Neurol, 2012. </w:t>
      </w:r>
      <w:r w:rsidRPr="004B75B8">
        <w:rPr>
          <w:rFonts w:ascii="Arial" w:hAnsi="Arial" w:cs="Arial"/>
          <w:b/>
          <w:sz w:val="24"/>
          <w:szCs w:val="24"/>
        </w:rPr>
        <w:t>11</w:t>
      </w:r>
      <w:r w:rsidRPr="004B75B8">
        <w:rPr>
          <w:rFonts w:ascii="Arial" w:hAnsi="Arial" w:cs="Arial"/>
          <w:sz w:val="24"/>
          <w:szCs w:val="24"/>
        </w:rPr>
        <w:t>(1): p. 92-100.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214.</w:t>
      </w:r>
      <w:r w:rsidRPr="004B75B8">
        <w:rPr>
          <w:rFonts w:ascii="Arial" w:hAnsi="Arial" w:cs="Arial"/>
          <w:sz w:val="24"/>
          <w:szCs w:val="24"/>
        </w:rPr>
        <w:tab/>
        <w:t xml:space="preserve">de Falco, F.A. and A. de Falco, </w:t>
      </w:r>
      <w:r w:rsidRPr="004B75B8">
        <w:rPr>
          <w:rFonts w:ascii="Arial" w:hAnsi="Arial" w:cs="Arial"/>
          <w:i/>
          <w:sz w:val="24"/>
          <w:szCs w:val="24"/>
        </w:rPr>
        <w:t>Migraine with aura: which patients are most at risk of stroke?</w:t>
      </w:r>
      <w:r w:rsidRPr="004B75B8">
        <w:rPr>
          <w:rFonts w:ascii="Arial" w:hAnsi="Arial" w:cs="Arial"/>
          <w:sz w:val="24"/>
          <w:szCs w:val="24"/>
        </w:rPr>
        <w:t xml:space="preserve"> Neurol Sci, 2015. </w:t>
      </w:r>
      <w:r w:rsidRPr="004B75B8">
        <w:rPr>
          <w:rFonts w:ascii="Arial" w:hAnsi="Arial" w:cs="Arial"/>
          <w:b/>
          <w:sz w:val="24"/>
          <w:szCs w:val="24"/>
        </w:rPr>
        <w:t>36 Suppl 1</w:t>
      </w:r>
      <w:r w:rsidRPr="004B75B8">
        <w:rPr>
          <w:rFonts w:ascii="Arial" w:hAnsi="Arial" w:cs="Arial"/>
          <w:sz w:val="24"/>
          <w:szCs w:val="24"/>
        </w:rPr>
        <w:t>: p. 57-60.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215.</w:t>
      </w:r>
      <w:r w:rsidRPr="004B75B8">
        <w:rPr>
          <w:rFonts w:ascii="Arial" w:hAnsi="Arial" w:cs="Arial"/>
          <w:sz w:val="24"/>
          <w:szCs w:val="24"/>
        </w:rPr>
        <w:tab/>
        <w:t xml:space="preserve">MacClellan, L.R., et al., </w:t>
      </w:r>
      <w:r w:rsidRPr="004B75B8">
        <w:rPr>
          <w:rFonts w:ascii="Arial" w:hAnsi="Arial" w:cs="Arial"/>
          <w:i/>
          <w:sz w:val="24"/>
          <w:szCs w:val="24"/>
        </w:rPr>
        <w:t>Probable migraine with visual aura and risk of ischemic stroke: the stroke prevention in young women study.</w:t>
      </w:r>
      <w:r w:rsidRPr="004B75B8">
        <w:rPr>
          <w:rFonts w:ascii="Arial" w:hAnsi="Arial" w:cs="Arial"/>
          <w:sz w:val="24"/>
          <w:szCs w:val="24"/>
        </w:rPr>
        <w:t xml:space="preserve"> Stroke, 2007. </w:t>
      </w:r>
      <w:r w:rsidRPr="004B75B8">
        <w:rPr>
          <w:rFonts w:ascii="Arial" w:hAnsi="Arial" w:cs="Arial"/>
          <w:b/>
          <w:sz w:val="24"/>
          <w:szCs w:val="24"/>
        </w:rPr>
        <w:t>38</w:t>
      </w:r>
      <w:r w:rsidRPr="004B75B8">
        <w:rPr>
          <w:rFonts w:ascii="Arial" w:hAnsi="Arial" w:cs="Arial"/>
          <w:sz w:val="24"/>
          <w:szCs w:val="24"/>
        </w:rPr>
        <w:t>(9): p. 2438-45.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216.</w:t>
      </w:r>
      <w:r w:rsidRPr="004B75B8">
        <w:rPr>
          <w:rFonts w:ascii="Arial" w:hAnsi="Arial" w:cs="Arial"/>
          <w:sz w:val="24"/>
          <w:szCs w:val="24"/>
        </w:rPr>
        <w:tab/>
        <w:t xml:space="preserve">Laurell, K., et al., </w:t>
      </w:r>
      <w:r w:rsidRPr="004B75B8">
        <w:rPr>
          <w:rFonts w:ascii="Arial" w:hAnsi="Arial" w:cs="Arial"/>
          <w:i/>
          <w:sz w:val="24"/>
          <w:szCs w:val="24"/>
        </w:rPr>
        <w:t>Migrainous infarction: a Nordic multicenter study.</w:t>
      </w:r>
      <w:r w:rsidRPr="004B75B8">
        <w:rPr>
          <w:rFonts w:ascii="Arial" w:hAnsi="Arial" w:cs="Arial"/>
          <w:sz w:val="24"/>
          <w:szCs w:val="24"/>
        </w:rPr>
        <w:t xml:space="preserve"> Eur J Neurol, 2011. </w:t>
      </w:r>
      <w:r w:rsidRPr="004B75B8">
        <w:rPr>
          <w:rFonts w:ascii="Arial" w:hAnsi="Arial" w:cs="Arial"/>
          <w:b/>
          <w:sz w:val="24"/>
          <w:szCs w:val="24"/>
        </w:rPr>
        <w:t>18</w:t>
      </w:r>
      <w:r w:rsidRPr="004B75B8">
        <w:rPr>
          <w:rFonts w:ascii="Arial" w:hAnsi="Arial" w:cs="Arial"/>
          <w:sz w:val="24"/>
          <w:szCs w:val="24"/>
        </w:rPr>
        <w:t>(10): p. 1220-6.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217.</w:t>
      </w:r>
      <w:r w:rsidRPr="004B75B8">
        <w:rPr>
          <w:rFonts w:ascii="Arial" w:hAnsi="Arial" w:cs="Arial"/>
          <w:sz w:val="24"/>
          <w:szCs w:val="24"/>
        </w:rPr>
        <w:tab/>
        <w:t xml:space="preserve">Malik, R., et al., </w:t>
      </w:r>
      <w:r w:rsidRPr="004B75B8">
        <w:rPr>
          <w:rFonts w:ascii="Arial" w:hAnsi="Arial" w:cs="Arial"/>
          <w:i/>
          <w:sz w:val="24"/>
          <w:szCs w:val="24"/>
        </w:rPr>
        <w:t>Shared genetic basis for migraine and ischemic stroke: A genome-wide analysis of common variants.</w:t>
      </w:r>
      <w:r w:rsidRPr="004B75B8">
        <w:rPr>
          <w:rFonts w:ascii="Arial" w:hAnsi="Arial" w:cs="Arial"/>
          <w:sz w:val="24"/>
          <w:szCs w:val="24"/>
        </w:rPr>
        <w:t xml:space="preserve"> Neurology, 2015. </w:t>
      </w:r>
      <w:r w:rsidRPr="004B75B8">
        <w:rPr>
          <w:rFonts w:ascii="Arial" w:hAnsi="Arial" w:cs="Arial"/>
          <w:b/>
          <w:sz w:val="24"/>
          <w:szCs w:val="24"/>
        </w:rPr>
        <w:t>84</w:t>
      </w:r>
      <w:r w:rsidRPr="004B75B8">
        <w:rPr>
          <w:rFonts w:ascii="Arial" w:hAnsi="Arial" w:cs="Arial"/>
          <w:sz w:val="24"/>
          <w:szCs w:val="24"/>
        </w:rPr>
        <w:t>(21): p. 2132-45.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218.</w:t>
      </w:r>
      <w:r w:rsidRPr="004B75B8">
        <w:rPr>
          <w:rFonts w:ascii="Arial" w:hAnsi="Arial" w:cs="Arial"/>
          <w:sz w:val="24"/>
          <w:szCs w:val="24"/>
        </w:rPr>
        <w:tab/>
        <w:t xml:space="preserve">Eikermann-Haerter, K., </w:t>
      </w:r>
      <w:r w:rsidRPr="004B75B8">
        <w:rPr>
          <w:rFonts w:ascii="Arial" w:hAnsi="Arial" w:cs="Arial"/>
          <w:i/>
          <w:sz w:val="24"/>
          <w:szCs w:val="24"/>
        </w:rPr>
        <w:t>Spreading depolarization may link migraine and stroke.</w:t>
      </w:r>
      <w:r w:rsidRPr="004B75B8">
        <w:rPr>
          <w:rFonts w:ascii="Arial" w:hAnsi="Arial" w:cs="Arial"/>
          <w:sz w:val="24"/>
          <w:szCs w:val="24"/>
        </w:rPr>
        <w:t xml:space="preserve"> Headache, 2014. </w:t>
      </w:r>
      <w:r w:rsidRPr="004B75B8">
        <w:rPr>
          <w:rFonts w:ascii="Arial" w:hAnsi="Arial" w:cs="Arial"/>
          <w:b/>
          <w:sz w:val="24"/>
          <w:szCs w:val="24"/>
        </w:rPr>
        <w:t>54</w:t>
      </w:r>
      <w:r w:rsidRPr="004B75B8">
        <w:rPr>
          <w:rFonts w:ascii="Arial" w:hAnsi="Arial" w:cs="Arial"/>
          <w:sz w:val="24"/>
          <w:szCs w:val="24"/>
        </w:rPr>
        <w:t>(7): p. 1146-57.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219.</w:t>
      </w:r>
      <w:r w:rsidRPr="004B75B8">
        <w:rPr>
          <w:rFonts w:ascii="Arial" w:hAnsi="Arial" w:cs="Arial"/>
          <w:sz w:val="24"/>
          <w:szCs w:val="24"/>
        </w:rPr>
        <w:tab/>
        <w:t xml:space="preserve">Artto, V., et al., </w:t>
      </w:r>
      <w:r w:rsidRPr="004B75B8">
        <w:rPr>
          <w:rFonts w:ascii="Arial" w:hAnsi="Arial" w:cs="Arial"/>
          <w:i/>
          <w:sz w:val="24"/>
          <w:szCs w:val="24"/>
        </w:rPr>
        <w:t>Migraine with aura is a risk factor for cervical artery dissection: a case-control study.</w:t>
      </w:r>
      <w:r w:rsidRPr="004B75B8">
        <w:rPr>
          <w:rFonts w:ascii="Arial" w:hAnsi="Arial" w:cs="Arial"/>
          <w:sz w:val="24"/>
          <w:szCs w:val="24"/>
        </w:rPr>
        <w:t xml:space="preserve"> Cerebrovasc Dis, 2010. </w:t>
      </w:r>
      <w:r w:rsidRPr="004B75B8">
        <w:rPr>
          <w:rFonts w:ascii="Arial" w:hAnsi="Arial" w:cs="Arial"/>
          <w:b/>
          <w:sz w:val="24"/>
          <w:szCs w:val="24"/>
        </w:rPr>
        <w:t>30</w:t>
      </w:r>
      <w:r w:rsidRPr="004B75B8">
        <w:rPr>
          <w:rFonts w:ascii="Arial" w:hAnsi="Arial" w:cs="Arial"/>
          <w:sz w:val="24"/>
          <w:szCs w:val="24"/>
        </w:rPr>
        <w:t>(1): p. 36-40.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220.</w:t>
      </w:r>
      <w:r w:rsidRPr="004B75B8">
        <w:rPr>
          <w:rFonts w:ascii="Arial" w:hAnsi="Arial" w:cs="Arial"/>
          <w:sz w:val="24"/>
          <w:szCs w:val="24"/>
        </w:rPr>
        <w:tab/>
        <w:t xml:space="preserve">Bigal, M.E., et al., </w:t>
      </w:r>
      <w:r w:rsidRPr="004B75B8">
        <w:rPr>
          <w:rFonts w:ascii="Arial" w:hAnsi="Arial" w:cs="Arial"/>
          <w:i/>
          <w:sz w:val="24"/>
          <w:szCs w:val="24"/>
        </w:rPr>
        <w:t>Migraine and cardiovascular disease: a population-based study.</w:t>
      </w:r>
      <w:r w:rsidRPr="004B75B8">
        <w:rPr>
          <w:rFonts w:ascii="Arial" w:hAnsi="Arial" w:cs="Arial"/>
          <w:sz w:val="24"/>
          <w:szCs w:val="24"/>
        </w:rPr>
        <w:t xml:space="preserve"> Neurology, 2010. </w:t>
      </w:r>
      <w:r w:rsidRPr="004B75B8">
        <w:rPr>
          <w:rFonts w:ascii="Arial" w:hAnsi="Arial" w:cs="Arial"/>
          <w:b/>
          <w:sz w:val="24"/>
          <w:szCs w:val="24"/>
        </w:rPr>
        <w:t>74</w:t>
      </w:r>
      <w:r w:rsidRPr="004B75B8">
        <w:rPr>
          <w:rFonts w:ascii="Arial" w:hAnsi="Arial" w:cs="Arial"/>
          <w:sz w:val="24"/>
          <w:szCs w:val="24"/>
        </w:rPr>
        <w:t>(8): p. 628-35.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221.</w:t>
      </w:r>
      <w:r w:rsidRPr="004B75B8">
        <w:rPr>
          <w:rFonts w:ascii="Arial" w:hAnsi="Arial" w:cs="Arial"/>
          <w:sz w:val="24"/>
          <w:szCs w:val="24"/>
        </w:rPr>
        <w:tab/>
        <w:t xml:space="preserve">Schurks, M., et al., </w:t>
      </w:r>
      <w:r w:rsidRPr="004B75B8">
        <w:rPr>
          <w:rFonts w:ascii="Arial" w:hAnsi="Arial" w:cs="Arial"/>
          <w:i/>
          <w:sz w:val="24"/>
          <w:szCs w:val="24"/>
        </w:rPr>
        <w:t>Genetic determinants of cardiovascular events among women with migraine: a genome-wide association study.</w:t>
      </w:r>
      <w:r w:rsidRPr="004B75B8">
        <w:rPr>
          <w:rFonts w:ascii="Arial" w:hAnsi="Arial" w:cs="Arial"/>
          <w:sz w:val="24"/>
          <w:szCs w:val="24"/>
        </w:rPr>
        <w:t xml:space="preserve"> PLoS One, 2011. </w:t>
      </w:r>
      <w:r w:rsidRPr="004B75B8">
        <w:rPr>
          <w:rFonts w:ascii="Arial" w:hAnsi="Arial" w:cs="Arial"/>
          <w:b/>
          <w:sz w:val="24"/>
          <w:szCs w:val="24"/>
        </w:rPr>
        <w:t>6</w:t>
      </w:r>
      <w:r w:rsidRPr="004B75B8">
        <w:rPr>
          <w:rFonts w:ascii="Arial" w:hAnsi="Arial" w:cs="Arial"/>
          <w:sz w:val="24"/>
          <w:szCs w:val="24"/>
        </w:rPr>
        <w:t>(7): p. e22106.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222.</w:t>
      </w:r>
      <w:r w:rsidRPr="004B75B8">
        <w:rPr>
          <w:rFonts w:ascii="Arial" w:hAnsi="Arial" w:cs="Arial"/>
          <w:sz w:val="24"/>
          <w:szCs w:val="24"/>
        </w:rPr>
        <w:tab/>
        <w:t xml:space="preserve">Stam, A.H., et al., </w:t>
      </w:r>
      <w:r w:rsidRPr="004B75B8">
        <w:rPr>
          <w:rFonts w:ascii="Arial" w:hAnsi="Arial" w:cs="Arial"/>
          <w:i/>
          <w:sz w:val="24"/>
          <w:szCs w:val="24"/>
        </w:rPr>
        <w:t>Migraine and genetic and acquired vasculopathies.</w:t>
      </w:r>
      <w:r w:rsidRPr="004B75B8">
        <w:rPr>
          <w:rFonts w:ascii="Arial" w:hAnsi="Arial" w:cs="Arial"/>
          <w:sz w:val="24"/>
          <w:szCs w:val="24"/>
        </w:rPr>
        <w:t xml:space="preserve"> Cephalalgia, 2009. </w:t>
      </w:r>
      <w:r w:rsidRPr="004B75B8">
        <w:rPr>
          <w:rFonts w:ascii="Arial" w:hAnsi="Arial" w:cs="Arial"/>
          <w:b/>
          <w:sz w:val="24"/>
          <w:szCs w:val="24"/>
        </w:rPr>
        <w:t>29</w:t>
      </w:r>
      <w:r w:rsidRPr="004B75B8">
        <w:rPr>
          <w:rFonts w:ascii="Arial" w:hAnsi="Arial" w:cs="Arial"/>
          <w:sz w:val="24"/>
          <w:szCs w:val="24"/>
        </w:rPr>
        <w:t>(9): p. 1006-17.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223.</w:t>
      </w:r>
      <w:r w:rsidRPr="004B75B8">
        <w:rPr>
          <w:rFonts w:ascii="Arial" w:hAnsi="Arial" w:cs="Arial"/>
          <w:sz w:val="24"/>
          <w:szCs w:val="24"/>
        </w:rPr>
        <w:tab/>
        <w:t xml:space="preserve">Eikermann-Haerter, K. and C. Ayata, </w:t>
      </w:r>
      <w:r w:rsidRPr="004B75B8">
        <w:rPr>
          <w:rFonts w:ascii="Arial" w:hAnsi="Arial" w:cs="Arial"/>
          <w:i/>
          <w:sz w:val="24"/>
          <w:szCs w:val="24"/>
        </w:rPr>
        <w:t>Cortical spreading depression and migraine.</w:t>
      </w:r>
      <w:r w:rsidRPr="004B75B8">
        <w:rPr>
          <w:rFonts w:ascii="Arial" w:hAnsi="Arial" w:cs="Arial"/>
          <w:sz w:val="24"/>
          <w:szCs w:val="24"/>
        </w:rPr>
        <w:t xml:space="preserve"> Curr Neurol Neurosci Rep, 2010. </w:t>
      </w:r>
      <w:r w:rsidRPr="004B75B8">
        <w:rPr>
          <w:rFonts w:ascii="Arial" w:hAnsi="Arial" w:cs="Arial"/>
          <w:b/>
          <w:sz w:val="24"/>
          <w:szCs w:val="24"/>
        </w:rPr>
        <w:t>10</w:t>
      </w:r>
      <w:r w:rsidRPr="004B75B8">
        <w:rPr>
          <w:rFonts w:ascii="Arial" w:hAnsi="Arial" w:cs="Arial"/>
          <w:sz w:val="24"/>
          <w:szCs w:val="24"/>
        </w:rPr>
        <w:t>(3): p. 167-73.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224.</w:t>
      </w:r>
      <w:r w:rsidRPr="004B75B8">
        <w:rPr>
          <w:rFonts w:ascii="Arial" w:hAnsi="Arial" w:cs="Arial"/>
          <w:sz w:val="24"/>
          <w:szCs w:val="24"/>
        </w:rPr>
        <w:tab/>
        <w:t xml:space="preserve">Ayata, C. and M. Lauritzen, </w:t>
      </w:r>
      <w:r w:rsidRPr="004B75B8">
        <w:rPr>
          <w:rFonts w:ascii="Arial" w:hAnsi="Arial" w:cs="Arial"/>
          <w:i/>
          <w:sz w:val="24"/>
          <w:szCs w:val="24"/>
        </w:rPr>
        <w:t>Spreading Depression, Spreading Depolarizations, and the Cerebral Vasculature.</w:t>
      </w:r>
      <w:r w:rsidRPr="004B75B8">
        <w:rPr>
          <w:rFonts w:ascii="Arial" w:hAnsi="Arial" w:cs="Arial"/>
          <w:sz w:val="24"/>
          <w:szCs w:val="24"/>
        </w:rPr>
        <w:t xml:space="preserve"> Physiol Rev, 2015. </w:t>
      </w:r>
      <w:r w:rsidRPr="004B75B8">
        <w:rPr>
          <w:rFonts w:ascii="Arial" w:hAnsi="Arial" w:cs="Arial"/>
          <w:b/>
          <w:sz w:val="24"/>
          <w:szCs w:val="24"/>
        </w:rPr>
        <w:t>95</w:t>
      </w:r>
      <w:r w:rsidRPr="004B75B8">
        <w:rPr>
          <w:rFonts w:ascii="Arial" w:hAnsi="Arial" w:cs="Arial"/>
          <w:sz w:val="24"/>
          <w:szCs w:val="24"/>
        </w:rPr>
        <w:t>(3): p. 953-93.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225.</w:t>
      </w:r>
      <w:r w:rsidRPr="004B75B8">
        <w:rPr>
          <w:rFonts w:ascii="Arial" w:hAnsi="Arial" w:cs="Arial"/>
          <w:sz w:val="24"/>
          <w:szCs w:val="24"/>
        </w:rPr>
        <w:tab/>
        <w:t xml:space="preserve">Kazemi, H., E.J. Speckmann, and A. Gorji, </w:t>
      </w:r>
      <w:r w:rsidRPr="004B75B8">
        <w:rPr>
          <w:rFonts w:ascii="Arial" w:hAnsi="Arial" w:cs="Arial"/>
          <w:i/>
          <w:sz w:val="24"/>
          <w:szCs w:val="24"/>
        </w:rPr>
        <w:t>Familial hemiplegic migraine and spreading depression.</w:t>
      </w:r>
      <w:r w:rsidRPr="004B75B8">
        <w:rPr>
          <w:rFonts w:ascii="Arial" w:hAnsi="Arial" w:cs="Arial"/>
          <w:sz w:val="24"/>
          <w:szCs w:val="24"/>
        </w:rPr>
        <w:t xml:space="preserve"> Iran J Child Neurol, 2014. </w:t>
      </w:r>
      <w:r w:rsidRPr="004B75B8">
        <w:rPr>
          <w:rFonts w:ascii="Arial" w:hAnsi="Arial" w:cs="Arial"/>
          <w:b/>
          <w:sz w:val="24"/>
          <w:szCs w:val="24"/>
        </w:rPr>
        <w:t>8</w:t>
      </w:r>
      <w:r w:rsidRPr="004B75B8">
        <w:rPr>
          <w:rFonts w:ascii="Arial" w:hAnsi="Arial" w:cs="Arial"/>
          <w:sz w:val="24"/>
          <w:szCs w:val="24"/>
        </w:rPr>
        <w:t>(3): p. 6-11.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226.</w:t>
      </w:r>
      <w:r w:rsidRPr="004B75B8">
        <w:rPr>
          <w:rFonts w:ascii="Arial" w:hAnsi="Arial" w:cs="Arial"/>
          <w:sz w:val="24"/>
          <w:szCs w:val="24"/>
        </w:rPr>
        <w:tab/>
        <w:t xml:space="preserve">Lauritzen, M. and A.J. Strong, </w:t>
      </w:r>
      <w:r w:rsidRPr="004B75B8">
        <w:rPr>
          <w:rFonts w:ascii="Arial" w:hAnsi="Arial" w:cs="Arial"/>
          <w:i/>
          <w:sz w:val="24"/>
          <w:szCs w:val="24"/>
        </w:rPr>
        <w:t>'Spreading depression of Leao' and its emerging relevance to acute brain injury in humans.</w:t>
      </w:r>
      <w:r w:rsidRPr="004B75B8">
        <w:rPr>
          <w:rFonts w:ascii="Arial" w:hAnsi="Arial" w:cs="Arial"/>
          <w:sz w:val="24"/>
          <w:szCs w:val="24"/>
        </w:rPr>
        <w:t xml:space="preserve"> J Cereb Blood Flow Metab, 2017. </w:t>
      </w:r>
      <w:r w:rsidRPr="004B75B8">
        <w:rPr>
          <w:rFonts w:ascii="Arial" w:hAnsi="Arial" w:cs="Arial"/>
          <w:b/>
          <w:sz w:val="24"/>
          <w:szCs w:val="24"/>
        </w:rPr>
        <w:t>37</w:t>
      </w:r>
      <w:r w:rsidRPr="004B75B8">
        <w:rPr>
          <w:rFonts w:ascii="Arial" w:hAnsi="Arial" w:cs="Arial"/>
          <w:sz w:val="24"/>
          <w:szCs w:val="24"/>
        </w:rPr>
        <w:t>(5): p. 1553-1570.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227.</w:t>
      </w:r>
      <w:r w:rsidRPr="004B75B8">
        <w:rPr>
          <w:rFonts w:ascii="Arial" w:hAnsi="Arial" w:cs="Arial"/>
          <w:sz w:val="24"/>
          <w:szCs w:val="24"/>
        </w:rPr>
        <w:tab/>
        <w:t xml:space="preserve">Tietjen, E.G., </w:t>
      </w:r>
      <w:r w:rsidRPr="004B75B8">
        <w:rPr>
          <w:rFonts w:ascii="Arial" w:hAnsi="Arial" w:cs="Arial"/>
          <w:i/>
          <w:sz w:val="24"/>
          <w:szCs w:val="24"/>
        </w:rPr>
        <w:t>Migraine and ischaemic heart disease and stroke: potential mechanisms and treatment implications.</w:t>
      </w:r>
      <w:r w:rsidRPr="004B75B8">
        <w:rPr>
          <w:rFonts w:ascii="Arial" w:hAnsi="Arial" w:cs="Arial"/>
          <w:sz w:val="24"/>
          <w:szCs w:val="24"/>
        </w:rPr>
        <w:t xml:space="preserve"> Cephalalgia, 2007. </w:t>
      </w:r>
      <w:r w:rsidRPr="004B75B8">
        <w:rPr>
          <w:rFonts w:ascii="Arial" w:hAnsi="Arial" w:cs="Arial"/>
          <w:b/>
          <w:sz w:val="24"/>
          <w:szCs w:val="24"/>
        </w:rPr>
        <w:t>27</w:t>
      </w:r>
      <w:r w:rsidRPr="004B75B8">
        <w:rPr>
          <w:rFonts w:ascii="Arial" w:hAnsi="Arial" w:cs="Arial"/>
          <w:sz w:val="24"/>
          <w:szCs w:val="24"/>
        </w:rPr>
        <w:t>(8): p. 981-7.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228.</w:t>
      </w:r>
      <w:r w:rsidRPr="004B75B8">
        <w:rPr>
          <w:rFonts w:ascii="Arial" w:hAnsi="Arial" w:cs="Arial"/>
          <w:sz w:val="24"/>
          <w:szCs w:val="24"/>
        </w:rPr>
        <w:tab/>
        <w:t xml:space="preserve">Seitz, I., U. Dirnagl, and U. Lindauer, </w:t>
      </w:r>
      <w:r w:rsidRPr="004B75B8">
        <w:rPr>
          <w:rFonts w:ascii="Arial" w:hAnsi="Arial" w:cs="Arial"/>
          <w:i/>
          <w:sz w:val="24"/>
          <w:szCs w:val="24"/>
        </w:rPr>
        <w:t>Impaired vascular reactivity of isolated rat middle cerebral artery after cortical spreading depression in vivo.</w:t>
      </w:r>
      <w:r w:rsidRPr="004B75B8">
        <w:rPr>
          <w:rFonts w:ascii="Arial" w:hAnsi="Arial" w:cs="Arial"/>
          <w:sz w:val="24"/>
          <w:szCs w:val="24"/>
        </w:rPr>
        <w:t xml:space="preserve"> J Cereb Blood Flow Metab, 2004. </w:t>
      </w:r>
      <w:r w:rsidRPr="004B75B8">
        <w:rPr>
          <w:rFonts w:ascii="Arial" w:hAnsi="Arial" w:cs="Arial"/>
          <w:b/>
          <w:sz w:val="24"/>
          <w:szCs w:val="24"/>
        </w:rPr>
        <w:t>24</w:t>
      </w:r>
      <w:r w:rsidRPr="004B75B8">
        <w:rPr>
          <w:rFonts w:ascii="Arial" w:hAnsi="Arial" w:cs="Arial"/>
          <w:sz w:val="24"/>
          <w:szCs w:val="24"/>
        </w:rPr>
        <w:t>(5): p. 526-30.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229.</w:t>
      </w:r>
      <w:r w:rsidRPr="004B75B8">
        <w:rPr>
          <w:rFonts w:ascii="Arial" w:hAnsi="Arial" w:cs="Arial"/>
          <w:sz w:val="24"/>
          <w:szCs w:val="24"/>
        </w:rPr>
        <w:tab/>
        <w:t xml:space="preserve">Bigal, M.E., </w:t>
      </w:r>
      <w:r w:rsidRPr="004B75B8">
        <w:rPr>
          <w:rFonts w:ascii="Arial" w:hAnsi="Arial" w:cs="Arial"/>
          <w:i/>
          <w:sz w:val="24"/>
          <w:szCs w:val="24"/>
        </w:rPr>
        <w:t>Migraine and cardiovascular disease.</w:t>
      </w:r>
      <w:r w:rsidRPr="004B75B8">
        <w:rPr>
          <w:rFonts w:ascii="Arial" w:hAnsi="Arial" w:cs="Arial"/>
          <w:sz w:val="24"/>
          <w:szCs w:val="24"/>
        </w:rPr>
        <w:t xml:space="preserve"> Arq Neuropsiquiatr, 2011. </w:t>
      </w:r>
      <w:r w:rsidRPr="004B75B8">
        <w:rPr>
          <w:rFonts w:ascii="Arial" w:hAnsi="Arial" w:cs="Arial"/>
          <w:b/>
          <w:sz w:val="24"/>
          <w:szCs w:val="24"/>
        </w:rPr>
        <w:t>69</w:t>
      </w:r>
      <w:r w:rsidRPr="004B75B8">
        <w:rPr>
          <w:rFonts w:ascii="Arial" w:hAnsi="Arial" w:cs="Arial"/>
          <w:sz w:val="24"/>
          <w:szCs w:val="24"/>
        </w:rPr>
        <w:t>(1): p. 122-9.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230.</w:t>
      </w:r>
      <w:r w:rsidRPr="004B75B8">
        <w:rPr>
          <w:rFonts w:ascii="Arial" w:hAnsi="Arial" w:cs="Arial"/>
          <w:sz w:val="24"/>
          <w:szCs w:val="24"/>
        </w:rPr>
        <w:tab/>
        <w:t xml:space="preserve">Dreier, J.P., </w:t>
      </w:r>
      <w:r w:rsidRPr="004B75B8">
        <w:rPr>
          <w:rFonts w:ascii="Arial" w:hAnsi="Arial" w:cs="Arial"/>
          <w:i/>
          <w:sz w:val="24"/>
          <w:szCs w:val="24"/>
        </w:rPr>
        <w:t>The role of spreading depression, spreading depolarization and spreading ischemia in neurological disease.</w:t>
      </w:r>
      <w:r w:rsidRPr="004B75B8">
        <w:rPr>
          <w:rFonts w:ascii="Arial" w:hAnsi="Arial" w:cs="Arial"/>
          <w:sz w:val="24"/>
          <w:szCs w:val="24"/>
        </w:rPr>
        <w:t xml:space="preserve"> Nat Med, 2011. </w:t>
      </w:r>
      <w:r w:rsidRPr="004B75B8">
        <w:rPr>
          <w:rFonts w:ascii="Arial" w:hAnsi="Arial" w:cs="Arial"/>
          <w:b/>
          <w:sz w:val="24"/>
          <w:szCs w:val="24"/>
        </w:rPr>
        <w:t>17</w:t>
      </w:r>
      <w:r w:rsidRPr="004B75B8">
        <w:rPr>
          <w:rFonts w:ascii="Arial" w:hAnsi="Arial" w:cs="Arial"/>
          <w:sz w:val="24"/>
          <w:szCs w:val="24"/>
        </w:rPr>
        <w:t>(4): p. 439-47.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231.</w:t>
      </w:r>
      <w:r w:rsidRPr="004B75B8">
        <w:rPr>
          <w:rFonts w:ascii="Arial" w:hAnsi="Arial" w:cs="Arial"/>
          <w:sz w:val="24"/>
          <w:szCs w:val="24"/>
        </w:rPr>
        <w:tab/>
        <w:t xml:space="preserve">Tietjen, G.E., </w:t>
      </w:r>
      <w:r w:rsidRPr="004B75B8">
        <w:rPr>
          <w:rFonts w:ascii="Arial" w:hAnsi="Arial" w:cs="Arial"/>
          <w:i/>
          <w:sz w:val="24"/>
          <w:szCs w:val="24"/>
        </w:rPr>
        <w:t>Circulating microparticles in migraine with aura: cause or consequence, a link to stroke.</w:t>
      </w:r>
      <w:r w:rsidRPr="004B75B8">
        <w:rPr>
          <w:rFonts w:ascii="Arial" w:hAnsi="Arial" w:cs="Arial"/>
          <w:sz w:val="24"/>
          <w:szCs w:val="24"/>
        </w:rPr>
        <w:t xml:space="preserve"> Cephalalgia, 2015. </w:t>
      </w:r>
      <w:r w:rsidRPr="004B75B8">
        <w:rPr>
          <w:rFonts w:ascii="Arial" w:hAnsi="Arial" w:cs="Arial"/>
          <w:b/>
          <w:sz w:val="24"/>
          <w:szCs w:val="24"/>
        </w:rPr>
        <w:t>35</w:t>
      </w:r>
      <w:r w:rsidRPr="004B75B8">
        <w:rPr>
          <w:rFonts w:ascii="Arial" w:hAnsi="Arial" w:cs="Arial"/>
          <w:sz w:val="24"/>
          <w:szCs w:val="24"/>
        </w:rPr>
        <w:t>(2): p. 85-7.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232.</w:t>
      </w:r>
      <w:r w:rsidRPr="004B75B8">
        <w:rPr>
          <w:rFonts w:ascii="Arial" w:hAnsi="Arial" w:cs="Arial"/>
          <w:sz w:val="24"/>
          <w:szCs w:val="24"/>
        </w:rPr>
        <w:tab/>
        <w:t xml:space="preserve">Rajendran, P., et al., </w:t>
      </w:r>
      <w:r w:rsidRPr="004B75B8">
        <w:rPr>
          <w:rFonts w:ascii="Arial" w:hAnsi="Arial" w:cs="Arial"/>
          <w:i/>
          <w:sz w:val="24"/>
          <w:szCs w:val="24"/>
        </w:rPr>
        <w:t>The vascular endothelium and human diseases.</w:t>
      </w:r>
      <w:r w:rsidRPr="004B75B8">
        <w:rPr>
          <w:rFonts w:ascii="Arial" w:hAnsi="Arial" w:cs="Arial"/>
          <w:sz w:val="24"/>
          <w:szCs w:val="24"/>
        </w:rPr>
        <w:t xml:space="preserve"> Int J Biol Sci, 2013. </w:t>
      </w:r>
      <w:r w:rsidRPr="004B75B8">
        <w:rPr>
          <w:rFonts w:ascii="Arial" w:hAnsi="Arial" w:cs="Arial"/>
          <w:b/>
          <w:sz w:val="24"/>
          <w:szCs w:val="24"/>
        </w:rPr>
        <w:t>9</w:t>
      </w:r>
      <w:r w:rsidRPr="004B75B8">
        <w:rPr>
          <w:rFonts w:ascii="Arial" w:hAnsi="Arial" w:cs="Arial"/>
          <w:sz w:val="24"/>
          <w:szCs w:val="24"/>
        </w:rPr>
        <w:t>(10): p. 1057-69.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233.</w:t>
      </w:r>
      <w:r w:rsidRPr="004B75B8">
        <w:rPr>
          <w:rFonts w:ascii="Arial" w:hAnsi="Arial" w:cs="Arial"/>
          <w:sz w:val="24"/>
          <w:szCs w:val="24"/>
        </w:rPr>
        <w:tab/>
        <w:t xml:space="preserve">Liman, T.G., et al., </w:t>
      </w:r>
      <w:r w:rsidRPr="004B75B8">
        <w:rPr>
          <w:rFonts w:ascii="Arial" w:hAnsi="Arial" w:cs="Arial"/>
          <w:i/>
          <w:sz w:val="24"/>
          <w:szCs w:val="24"/>
        </w:rPr>
        <w:t>Circulating endothelial microparticles in female migraineurs with aura.</w:t>
      </w:r>
      <w:r w:rsidRPr="004B75B8">
        <w:rPr>
          <w:rFonts w:ascii="Arial" w:hAnsi="Arial" w:cs="Arial"/>
          <w:sz w:val="24"/>
          <w:szCs w:val="24"/>
        </w:rPr>
        <w:t xml:space="preserve"> Cephalalgia, 2015. </w:t>
      </w:r>
      <w:r w:rsidRPr="004B75B8">
        <w:rPr>
          <w:rFonts w:ascii="Arial" w:hAnsi="Arial" w:cs="Arial"/>
          <w:b/>
          <w:sz w:val="24"/>
          <w:szCs w:val="24"/>
        </w:rPr>
        <w:t>35</w:t>
      </w:r>
      <w:r w:rsidRPr="004B75B8">
        <w:rPr>
          <w:rFonts w:ascii="Arial" w:hAnsi="Arial" w:cs="Arial"/>
          <w:sz w:val="24"/>
          <w:szCs w:val="24"/>
        </w:rPr>
        <w:t>(2): p. 88-94.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234.</w:t>
      </w:r>
      <w:r w:rsidRPr="004B75B8">
        <w:rPr>
          <w:rFonts w:ascii="Arial" w:hAnsi="Arial" w:cs="Arial"/>
          <w:sz w:val="24"/>
          <w:szCs w:val="24"/>
        </w:rPr>
        <w:tab/>
        <w:t xml:space="preserve">Tietjen, G.E., et al., </w:t>
      </w:r>
      <w:r w:rsidRPr="004B75B8">
        <w:rPr>
          <w:rFonts w:ascii="Arial" w:hAnsi="Arial" w:cs="Arial"/>
          <w:i/>
          <w:sz w:val="24"/>
          <w:szCs w:val="24"/>
        </w:rPr>
        <w:t>Migraine and biomarkers of endothelial activation in young women.</w:t>
      </w:r>
      <w:r w:rsidRPr="004B75B8">
        <w:rPr>
          <w:rFonts w:ascii="Arial" w:hAnsi="Arial" w:cs="Arial"/>
          <w:sz w:val="24"/>
          <w:szCs w:val="24"/>
        </w:rPr>
        <w:t xml:space="preserve"> Stroke, 2009. </w:t>
      </w:r>
      <w:r w:rsidRPr="004B75B8">
        <w:rPr>
          <w:rFonts w:ascii="Arial" w:hAnsi="Arial" w:cs="Arial"/>
          <w:b/>
          <w:sz w:val="24"/>
          <w:szCs w:val="24"/>
        </w:rPr>
        <w:t>40</w:t>
      </w:r>
      <w:r w:rsidRPr="004B75B8">
        <w:rPr>
          <w:rFonts w:ascii="Arial" w:hAnsi="Arial" w:cs="Arial"/>
          <w:sz w:val="24"/>
          <w:szCs w:val="24"/>
        </w:rPr>
        <w:t>(9): p. 2977-82.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235.</w:t>
      </w:r>
      <w:r w:rsidRPr="004B75B8">
        <w:rPr>
          <w:rFonts w:ascii="Arial" w:hAnsi="Arial" w:cs="Arial"/>
          <w:sz w:val="24"/>
          <w:szCs w:val="24"/>
        </w:rPr>
        <w:tab/>
        <w:t xml:space="preserve">Rodriguez-Osorio, X., et al., </w:t>
      </w:r>
      <w:r w:rsidRPr="004B75B8">
        <w:rPr>
          <w:rFonts w:ascii="Arial" w:hAnsi="Arial" w:cs="Arial"/>
          <w:i/>
          <w:sz w:val="24"/>
          <w:szCs w:val="24"/>
        </w:rPr>
        <w:t>Endothelial progenitor cells: a new key for endothelial dysfunction in migraine.</w:t>
      </w:r>
      <w:r w:rsidRPr="004B75B8">
        <w:rPr>
          <w:rFonts w:ascii="Arial" w:hAnsi="Arial" w:cs="Arial"/>
          <w:sz w:val="24"/>
          <w:szCs w:val="24"/>
        </w:rPr>
        <w:t xml:space="preserve"> Neurology, 2012. </w:t>
      </w:r>
      <w:r w:rsidRPr="004B75B8">
        <w:rPr>
          <w:rFonts w:ascii="Arial" w:hAnsi="Arial" w:cs="Arial"/>
          <w:b/>
          <w:sz w:val="24"/>
          <w:szCs w:val="24"/>
        </w:rPr>
        <w:t>79</w:t>
      </w:r>
      <w:r w:rsidRPr="004B75B8">
        <w:rPr>
          <w:rFonts w:ascii="Arial" w:hAnsi="Arial" w:cs="Arial"/>
          <w:sz w:val="24"/>
          <w:szCs w:val="24"/>
        </w:rPr>
        <w:t>(5): p. 474-9.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236.</w:t>
      </w:r>
      <w:r w:rsidRPr="004B75B8">
        <w:rPr>
          <w:rFonts w:ascii="Arial" w:hAnsi="Arial" w:cs="Arial"/>
          <w:sz w:val="24"/>
          <w:szCs w:val="24"/>
        </w:rPr>
        <w:tab/>
        <w:t xml:space="preserve">Akin, A. and D. Bilensoy, </w:t>
      </w:r>
      <w:r w:rsidRPr="004B75B8">
        <w:rPr>
          <w:rFonts w:ascii="Arial" w:hAnsi="Arial" w:cs="Arial"/>
          <w:i/>
          <w:sz w:val="24"/>
          <w:szCs w:val="24"/>
        </w:rPr>
        <w:t>Cerebrovascular reactivity to hypercapnia in migraine patients measured with near-infrared spectroscopy.</w:t>
      </w:r>
      <w:r w:rsidRPr="004B75B8">
        <w:rPr>
          <w:rFonts w:ascii="Arial" w:hAnsi="Arial" w:cs="Arial"/>
          <w:sz w:val="24"/>
          <w:szCs w:val="24"/>
        </w:rPr>
        <w:t xml:space="preserve"> Brain Res, 2006. </w:t>
      </w:r>
      <w:r w:rsidRPr="004B75B8">
        <w:rPr>
          <w:rFonts w:ascii="Arial" w:hAnsi="Arial" w:cs="Arial"/>
          <w:b/>
          <w:sz w:val="24"/>
          <w:szCs w:val="24"/>
        </w:rPr>
        <w:t>1107</w:t>
      </w:r>
      <w:r w:rsidRPr="004B75B8">
        <w:rPr>
          <w:rFonts w:ascii="Arial" w:hAnsi="Arial" w:cs="Arial"/>
          <w:sz w:val="24"/>
          <w:szCs w:val="24"/>
        </w:rPr>
        <w:t>(1): p. 206-14.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237.</w:t>
      </w:r>
      <w:r w:rsidRPr="004B75B8">
        <w:rPr>
          <w:rFonts w:ascii="Arial" w:hAnsi="Arial" w:cs="Arial"/>
          <w:sz w:val="24"/>
          <w:szCs w:val="24"/>
        </w:rPr>
        <w:tab/>
        <w:t xml:space="preserve">Rajan, R., D. Khurana, and V. Lal, </w:t>
      </w:r>
      <w:r w:rsidRPr="004B75B8">
        <w:rPr>
          <w:rFonts w:ascii="Arial" w:hAnsi="Arial" w:cs="Arial"/>
          <w:i/>
          <w:sz w:val="24"/>
          <w:szCs w:val="24"/>
        </w:rPr>
        <w:t>Interictal cerebral and systemic endothelial dysfunction in patients with migraine: a case-control study.</w:t>
      </w:r>
      <w:r w:rsidRPr="004B75B8">
        <w:rPr>
          <w:rFonts w:ascii="Arial" w:hAnsi="Arial" w:cs="Arial"/>
          <w:sz w:val="24"/>
          <w:szCs w:val="24"/>
        </w:rPr>
        <w:t xml:space="preserve"> J Neurol Neurosurg Psychiatry, 2015. </w:t>
      </w:r>
      <w:r w:rsidRPr="004B75B8">
        <w:rPr>
          <w:rFonts w:ascii="Arial" w:hAnsi="Arial" w:cs="Arial"/>
          <w:b/>
          <w:sz w:val="24"/>
          <w:szCs w:val="24"/>
        </w:rPr>
        <w:t>86</w:t>
      </w:r>
      <w:r w:rsidRPr="004B75B8">
        <w:rPr>
          <w:rFonts w:ascii="Arial" w:hAnsi="Arial" w:cs="Arial"/>
          <w:sz w:val="24"/>
          <w:szCs w:val="24"/>
        </w:rPr>
        <w:t>(11): p. 1253-7.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238.</w:t>
      </w:r>
      <w:r w:rsidRPr="004B75B8">
        <w:rPr>
          <w:rFonts w:ascii="Arial" w:hAnsi="Arial" w:cs="Arial"/>
          <w:sz w:val="24"/>
          <w:szCs w:val="24"/>
        </w:rPr>
        <w:tab/>
        <w:t xml:space="preserve">Vernieri, F., et al., </w:t>
      </w:r>
      <w:r w:rsidRPr="004B75B8">
        <w:rPr>
          <w:rFonts w:ascii="Arial" w:hAnsi="Arial" w:cs="Arial"/>
          <w:i/>
          <w:sz w:val="24"/>
          <w:szCs w:val="24"/>
        </w:rPr>
        <w:t>Increased cerebral vasomotor reactivity in migraine with aura: an autoregulation disorder? A transcranial Doppler and near-infrared spectroscopy study.</w:t>
      </w:r>
      <w:r w:rsidRPr="004B75B8">
        <w:rPr>
          <w:rFonts w:ascii="Arial" w:hAnsi="Arial" w:cs="Arial"/>
          <w:sz w:val="24"/>
          <w:szCs w:val="24"/>
        </w:rPr>
        <w:t xml:space="preserve"> Cephalalgia, 2008. </w:t>
      </w:r>
      <w:r w:rsidRPr="004B75B8">
        <w:rPr>
          <w:rFonts w:ascii="Arial" w:hAnsi="Arial" w:cs="Arial"/>
          <w:b/>
          <w:sz w:val="24"/>
          <w:szCs w:val="24"/>
        </w:rPr>
        <w:t>28</w:t>
      </w:r>
      <w:r w:rsidRPr="004B75B8">
        <w:rPr>
          <w:rFonts w:ascii="Arial" w:hAnsi="Arial" w:cs="Arial"/>
          <w:sz w:val="24"/>
          <w:szCs w:val="24"/>
        </w:rPr>
        <w:t>(7): p. 689-95.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239.</w:t>
      </w:r>
      <w:r w:rsidRPr="004B75B8">
        <w:rPr>
          <w:rFonts w:ascii="Arial" w:hAnsi="Arial" w:cs="Arial"/>
          <w:sz w:val="24"/>
          <w:szCs w:val="24"/>
        </w:rPr>
        <w:tab/>
        <w:t xml:space="preserve">Hagen, K., et al., </w:t>
      </w:r>
      <w:r w:rsidRPr="004B75B8">
        <w:rPr>
          <w:rFonts w:ascii="Arial" w:hAnsi="Arial" w:cs="Arial"/>
          <w:i/>
          <w:sz w:val="24"/>
          <w:szCs w:val="24"/>
        </w:rPr>
        <w:t>Blood pressure and risk of headache: a prospective study of 22 685 adults in Norway.</w:t>
      </w:r>
      <w:r w:rsidRPr="004B75B8">
        <w:rPr>
          <w:rFonts w:ascii="Arial" w:hAnsi="Arial" w:cs="Arial"/>
          <w:sz w:val="24"/>
          <w:szCs w:val="24"/>
        </w:rPr>
        <w:t xml:space="preserve"> J Neurol Neurosurg Psychiatry, 2002. </w:t>
      </w:r>
      <w:r w:rsidRPr="004B75B8">
        <w:rPr>
          <w:rFonts w:ascii="Arial" w:hAnsi="Arial" w:cs="Arial"/>
          <w:b/>
          <w:sz w:val="24"/>
          <w:szCs w:val="24"/>
        </w:rPr>
        <w:t>72</w:t>
      </w:r>
      <w:r w:rsidRPr="004B75B8">
        <w:rPr>
          <w:rFonts w:ascii="Arial" w:hAnsi="Arial" w:cs="Arial"/>
          <w:sz w:val="24"/>
          <w:szCs w:val="24"/>
        </w:rPr>
        <w:t>(4): p. 463-6.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240.</w:t>
      </w:r>
      <w:r w:rsidRPr="004B75B8">
        <w:rPr>
          <w:rFonts w:ascii="Arial" w:hAnsi="Arial" w:cs="Arial"/>
          <w:sz w:val="24"/>
          <w:szCs w:val="24"/>
        </w:rPr>
        <w:tab/>
        <w:t xml:space="preserve">Tronvik, E., et al., </w:t>
      </w:r>
      <w:r w:rsidRPr="004B75B8">
        <w:rPr>
          <w:rFonts w:ascii="Arial" w:hAnsi="Arial" w:cs="Arial"/>
          <w:i/>
          <w:sz w:val="24"/>
          <w:szCs w:val="24"/>
        </w:rPr>
        <w:t>Association between blood pressure measures and recurrent headache in adolescents: cross-sectional data from the HUNT-Youth study.</w:t>
      </w:r>
      <w:r w:rsidRPr="004B75B8">
        <w:rPr>
          <w:rFonts w:ascii="Arial" w:hAnsi="Arial" w:cs="Arial"/>
          <w:sz w:val="24"/>
          <w:szCs w:val="24"/>
        </w:rPr>
        <w:t xml:space="preserve"> J Headache Pain, 2011. </w:t>
      </w:r>
      <w:r w:rsidRPr="004B75B8">
        <w:rPr>
          <w:rFonts w:ascii="Arial" w:hAnsi="Arial" w:cs="Arial"/>
          <w:b/>
          <w:sz w:val="24"/>
          <w:szCs w:val="24"/>
        </w:rPr>
        <w:t>12</w:t>
      </w:r>
      <w:r w:rsidRPr="004B75B8">
        <w:rPr>
          <w:rFonts w:ascii="Arial" w:hAnsi="Arial" w:cs="Arial"/>
          <w:sz w:val="24"/>
          <w:szCs w:val="24"/>
        </w:rPr>
        <w:t>(3): p. 347-53.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241.</w:t>
      </w:r>
      <w:r w:rsidRPr="004B75B8">
        <w:rPr>
          <w:rFonts w:ascii="Arial" w:hAnsi="Arial" w:cs="Arial"/>
          <w:sz w:val="24"/>
          <w:szCs w:val="24"/>
        </w:rPr>
        <w:tab/>
        <w:t xml:space="preserve">Gardener, H., et al., </w:t>
      </w:r>
      <w:r w:rsidRPr="004B75B8">
        <w:rPr>
          <w:rFonts w:ascii="Arial" w:hAnsi="Arial" w:cs="Arial"/>
          <w:i/>
          <w:sz w:val="24"/>
          <w:szCs w:val="24"/>
        </w:rPr>
        <w:t>Hypertension and Migraine in the Northern Manhattan Study.</w:t>
      </w:r>
      <w:r w:rsidRPr="004B75B8">
        <w:rPr>
          <w:rFonts w:ascii="Arial" w:hAnsi="Arial" w:cs="Arial"/>
          <w:sz w:val="24"/>
          <w:szCs w:val="24"/>
        </w:rPr>
        <w:t xml:space="preserve"> Ethn Dis, 2016. </w:t>
      </w:r>
      <w:r w:rsidRPr="004B75B8">
        <w:rPr>
          <w:rFonts w:ascii="Arial" w:hAnsi="Arial" w:cs="Arial"/>
          <w:b/>
          <w:sz w:val="24"/>
          <w:szCs w:val="24"/>
        </w:rPr>
        <w:t>26</w:t>
      </w:r>
      <w:r w:rsidRPr="004B75B8">
        <w:rPr>
          <w:rFonts w:ascii="Arial" w:hAnsi="Arial" w:cs="Arial"/>
          <w:sz w:val="24"/>
          <w:szCs w:val="24"/>
        </w:rPr>
        <w:t>(3): p. 323-30.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242.</w:t>
      </w:r>
      <w:r w:rsidRPr="004B75B8">
        <w:rPr>
          <w:rFonts w:ascii="Arial" w:hAnsi="Arial" w:cs="Arial"/>
          <w:sz w:val="24"/>
          <w:szCs w:val="24"/>
        </w:rPr>
        <w:tab/>
        <w:t xml:space="preserve">Ornello, R., et al., </w:t>
      </w:r>
      <w:r w:rsidRPr="004B75B8">
        <w:rPr>
          <w:rFonts w:ascii="Arial" w:hAnsi="Arial" w:cs="Arial"/>
          <w:i/>
          <w:sz w:val="24"/>
          <w:szCs w:val="24"/>
        </w:rPr>
        <w:t>Migraine and body mass index categories: a systematic review and meta-analysis of observational studies.</w:t>
      </w:r>
      <w:r w:rsidRPr="004B75B8">
        <w:rPr>
          <w:rFonts w:ascii="Arial" w:hAnsi="Arial" w:cs="Arial"/>
          <w:sz w:val="24"/>
          <w:szCs w:val="24"/>
        </w:rPr>
        <w:t xml:space="preserve"> J Headache Pain, 2015. </w:t>
      </w:r>
      <w:r w:rsidRPr="004B75B8">
        <w:rPr>
          <w:rFonts w:ascii="Arial" w:hAnsi="Arial" w:cs="Arial"/>
          <w:b/>
          <w:sz w:val="24"/>
          <w:szCs w:val="24"/>
        </w:rPr>
        <w:t>16</w:t>
      </w:r>
      <w:r w:rsidRPr="004B75B8">
        <w:rPr>
          <w:rFonts w:ascii="Arial" w:hAnsi="Arial" w:cs="Arial"/>
          <w:sz w:val="24"/>
          <w:szCs w:val="24"/>
        </w:rPr>
        <w:t>: p. 27.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243.</w:t>
      </w:r>
      <w:r w:rsidRPr="004B75B8">
        <w:rPr>
          <w:rFonts w:ascii="Arial" w:hAnsi="Arial" w:cs="Arial"/>
          <w:sz w:val="24"/>
          <w:szCs w:val="24"/>
        </w:rPr>
        <w:tab/>
        <w:t xml:space="preserve">Queiroz, L.P., et al., </w:t>
      </w:r>
      <w:r w:rsidRPr="004B75B8">
        <w:rPr>
          <w:rFonts w:ascii="Arial" w:hAnsi="Arial" w:cs="Arial"/>
          <w:i/>
          <w:sz w:val="24"/>
          <w:szCs w:val="24"/>
        </w:rPr>
        <w:t>A nationwide population-based study of migraine in Brazil.</w:t>
      </w:r>
      <w:r w:rsidRPr="004B75B8">
        <w:rPr>
          <w:rFonts w:ascii="Arial" w:hAnsi="Arial" w:cs="Arial"/>
          <w:sz w:val="24"/>
          <w:szCs w:val="24"/>
        </w:rPr>
        <w:t xml:space="preserve"> Cephalalgia, 2009. </w:t>
      </w:r>
      <w:r w:rsidRPr="004B75B8">
        <w:rPr>
          <w:rFonts w:ascii="Arial" w:hAnsi="Arial" w:cs="Arial"/>
          <w:b/>
          <w:sz w:val="24"/>
          <w:szCs w:val="24"/>
        </w:rPr>
        <w:t>29</w:t>
      </w:r>
      <w:r w:rsidRPr="004B75B8">
        <w:rPr>
          <w:rFonts w:ascii="Arial" w:hAnsi="Arial" w:cs="Arial"/>
          <w:sz w:val="24"/>
          <w:szCs w:val="24"/>
        </w:rPr>
        <w:t>(6): p. 642-9.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244.</w:t>
      </w:r>
      <w:r w:rsidRPr="004B75B8">
        <w:rPr>
          <w:rFonts w:ascii="Arial" w:hAnsi="Arial" w:cs="Arial"/>
          <w:sz w:val="24"/>
          <w:szCs w:val="24"/>
        </w:rPr>
        <w:tab/>
        <w:t xml:space="preserve">Ligong, Z., et al., </w:t>
      </w:r>
      <w:r w:rsidRPr="004B75B8">
        <w:rPr>
          <w:rFonts w:ascii="Arial" w:hAnsi="Arial" w:cs="Arial"/>
          <w:i/>
          <w:sz w:val="24"/>
          <w:szCs w:val="24"/>
        </w:rPr>
        <w:t>Effect of Obesity and Leptin Level on Migraineurs.</w:t>
      </w:r>
      <w:r w:rsidRPr="004B75B8">
        <w:rPr>
          <w:rFonts w:ascii="Arial" w:hAnsi="Arial" w:cs="Arial"/>
          <w:sz w:val="24"/>
          <w:szCs w:val="24"/>
        </w:rPr>
        <w:t xml:space="preserve"> Med Sci Monit, 2015. </w:t>
      </w:r>
      <w:r w:rsidRPr="004B75B8">
        <w:rPr>
          <w:rFonts w:ascii="Arial" w:hAnsi="Arial" w:cs="Arial"/>
          <w:b/>
          <w:sz w:val="24"/>
          <w:szCs w:val="24"/>
        </w:rPr>
        <w:t>21</w:t>
      </w:r>
      <w:r w:rsidRPr="004B75B8">
        <w:rPr>
          <w:rFonts w:ascii="Arial" w:hAnsi="Arial" w:cs="Arial"/>
          <w:sz w:val="24"/>
          <w:szCs w:val="24"/>
        </w:rPr>
        <w:t>: p. 3270-4.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245.</w:t>
      </w:r>
      <w:r w:rsidRPr="004B75B8">
        <w:rPr>
          <w:rFonts w:ascii="Arial" w:hAnsi="Arial" w:cs="Arial"/>
          <w:sz w:val="24"/>
          <w:szCs w:val="24"/>
        </w:rPr>
        <w:tab/>
        <w:t xml:space="preserve">Winsvold, B.S., et al., </w:t>
      </w:r>
      <w:r w:rsidRPr="004B75B8">
        <w:rPr>
          <w:rFonts w:ascii="Arial" w:hAnsi="Arial" w:cs="Arial"/>
          <w:i/>
          <w:sz w:val="24"/>
          <w:szCs w:val="24"/>
        </w:rPr>
        <w:t>Headache, migraine and cardiovascular risk factors: the HUNT study.</w:t>
      </w:r>
      <w:r w:rsidRPr="004B75B8">
        <w:rPr>
          <w:rFonts w:ascii="Arial" w:hAnsi="Arial" w:cs="Arial"/>
          <w:sz w:val="24"/>
          <w:szCs w:val="24"/>
        </w:rPr>
        <w:t xml:space="preserve"> Eur J Neurol, 2011. </w:t>
      </w:r>
      <w:r w:rsidRPr="004B75B8">
        <w:rPr>
          <w:rFonts w:ascii="Arial" w:hAnsi="Arial" w:cs="Arial"/>
          <w:b/>
          <w:sz w:val="24"/>
          <w:szCs w:val="24"/>
        </w:rPr>
        <w:t>18</w:t>
      </w:r>
      <w:r w:rsidRPr="004B75B8">
        <w:rPr>
          <w:rFonts w:ascii="Arial" w:hAnsi="Arial" w:cs="Arial"/>
          <w:sz w:val="24"/>
          <w:szCs w:val="24"/>
        </w:rPr>
        <w:t>(3): p. 504-11.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246.</w:t>
      </w:r>
      <w:r w:rsidRPr="004B75B8">
        <w:rPr>
          <w:rFonts w:ascii="Arial" w:hAnsi="Arial" w:cs="Arial"/>
          <w:sz w:val="24"/>
          <w:szCs w:val="24"/>
        </w:rPr>
        <w:tab/>
        <w:t xml:space="preserve">Le, H., et al., </w:t>
      </w:r>
      <w:r w:rsidRPr="004B75B8">
        <w:rPr>
          <w:rFonts w:ascii="Arial" w:hAnsi="Arial" w:cs="Arial"/>
          <w:i/>
          <w:sz w:val="24"/>
          <w:szCs w:val="24"/>
        </w:rPr>
        <w:t>Association between migraine, lifestyle and socioeconomic factors: a population-based cross-sectional study.</w:t>
      </w:r>
      <w:r w:rsidRPr="004B75B8">
        <w:rPr>
          <w:rFonts w:ascii="Arial" w:hAnsi="Arial" w:cs="Arial"/>
          <w:sz w:val="24"/>
          <w:szCs w:val="24"/>
        </w:rPr>
        <w:t xml:space="preserve"> J Headache Pain, 2011. </w:t>
      </w:r>
      <w:r w:rsidRPr="004B75B8">
        <w:rPr>
          <w:rFonts w:ascii="Arial" w:hAnsi="Arial" w:cs="Arial"/>
          <w:b/>
          <w:sz w:val="24"/>
          <w:szCs w:val="24"/>
        </w:rPr>
        <w:t>12</w:t>
      </w:r>
      <w:r w:rsidRPr="004B75B8">
        <w:rPr>
          <w:rFonts w:ascii="Arial" w:hAnsi="Arial" w:cs="Arial"/>
          <w:sz w:val="24"/>
          <w:szCs w:val="24"/>
        </w:rPr>
        <w:t>(2): p. 157-72.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247.</w:t>
      </w:r>
      <w:r w:rsidRPr="004B75B8">
        <w:rPr>
          <w:rFonts w:ascii="Arial" w:hAnsi="Arial" w:cs="Arial"/>
          <w:sz w:val="24"/>
          <w:szCs w:val="24"/>
        </w:rPr>
        <w:tab/>
        <w:t xml:space="preserve">Sacco, S., et al., </w:t>
      </w:r>
      <w:r w:rsidRPr="004B75B8">
        <w:rPr>
          <w:rFonts w:ascii="Arial" w:hAnsi="Arial" w:cs="Arial"/>
          <w:i/>
          <w:sz w:val="24"/>
          <w:szCs w:val="24"/>
        </w:rPr>
        <w:t>Conventional vascular risk factors: their role in the association between migraine and cardiovascular diseases.</w:t>
      </w:r>
      <w:r w:rsidRPr="004B75B8">
        <w:rPr>
          <w:rFonts w:ascii="Arial" w:hAnsi="Arial" w:cs="Arial"/>
          <w:sz w:val="24"/>
          <w:szCs w:val="24"/>
        </w:rPr>
        <w:t xml:space="preserve"> Cephalalgia, 2015. </w:t>
      </w:r>
      <w:r w:rsidRPr="004B75B8">
        <w:rPr>
          <w:rFonts w:ascii="Arial" w:hAnsi="Arial" w:cs="Arial"/>
          <w:b/>
          <w:sz w:val="24"/>
          <w:szCs w:val="24"/>
        </w:rPr>
        <w:t>35</w:t>
      </w:r>
      <w:r w:rsidRPr="004B75B8">
        <w:rPr>
          <w:rFonts w:ascii="Arial" w:hAnsi="Arial" w:cs="Arial"/>
          <w:sz w:val="24"/>
          <w:szCs w:val="24"/>
        </w:rPr>
        <w:t>(2): p. 146-64.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248.</w:t>
      </w:r>
      <w:r w:rsidRPr="004B75B8">
        <w:rPr>
          <w:rFonts w:ascii="Arial" w:hAnsi="Arial" w:cs="Arial"/>
          <w:sz w:val="24"/>
          <w:szCs w:val="24"/>
        </w:rPr>
        <w:tab/>
        <w:t xml:space="preserve">Rozen, T.D., </w:t>
      </w:r>
      <w:r w:rsidRPr="004B75B8">
        <w:rPr>
          <w:rFonts w:ascii="Arial" w:hAnsi="Arial" w:cs="Arial"/>
          <w:i/>
          <w:sz w:val="24"/>
          <w:szCs w:val="24"/>
        </w:rPr>
        <w:t>A history of cigarette smoking is associated with the development of cranial autonomic symptoms with migraine headaches.</w:t>
      </w:r>
      <w:r w:rsidRPr="004B75B8">
        <w:rPr>
          <w:rFonts w:ascii="Arial" w:hAnsi="Arial" w:cs="Arial"/>
          <w:sz w:val="24"/>
          <w:szCs w:val="24"/>
        </w:rPr>
        <w:t xml:space="preserve"> Headache, 2011. </w:t>
      </w:r>
      <w:r w:rsidRPr="004B75B8">
        <w:rPr>
          <w:rFonts w:ascii="Arial" w:hAnsi="Arial" w:cs="Arial"/>
          <w:b/>
          <w:sz w:val="24"/>
          <w:szCs w:val="24"/>
        </w:rPr>
        <w:t>51</w:t>
      </w:r>
      <w:r w:rsidRPr="004B75B8">
        <w:rPr>
          <w:rFonts w:ascii="Arial" w:hAnsi="Arial" w:cs="Arial"/>
          <w:sz w:val="24"/>
          <w:szCs w:val="24"/>
        </w:rPr>
        <w:t>(1): p. 85-91.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249.</w:t>
      </w:r>
      <w:r w:rsidRPr="004B75B8">
        <w:rPr>
          <w:rFonts w:ascii="Arial" w:hAnsi="Arial" w:cs="Arial"/>
          <w:sz w:val="24"/>
          <w:szCs w:val="24"/>
        </w:rPr>
        <w:tab/>
        <w:t xml:space="preserve">Taylor, F.R., </w:t>
      </w:r>
      <w:r w:rsidRPr="004B75B8">
        <w:rPr>
          <w:rFonts w:ascii="Arial" w:hAnsi="Arial" w:cs="Arial"/>
          <w:i/>
          <w:sz w:val="24"/>
          <w:szCs w:val="24"/>
        </w:rPr>
        <w:t>Tobacco, Nicotine, and Headache.</w:t>
      </w:r>
      <w:r w:rsidRPr="004B75B8">
        <w:rPr>
          <w:rFonts w:ascii="Arial" w:hAnsi="Arial" w:cs="Arial"/>
          <w:sz w:val="24"/>
          <w:szCs w:val="24"/>
        </w:rPr>
        <w:t xml:space="preserve"> Headache, 2015. </w:t>
      </w:r>
      <w:r w:rsidRPr="004B75B8">
        <w:rPr>
          <w:rFonts w:ascii="Arial" w:hAnsi="Arial" w:cs="Arial"/>
          <w:b/>
          <w:sz w:val="24"/>
          <w:szCs w:val="24"/>
        </w:rPr>
        <w:t>55</w:t>
      </w:r>
      <w:r w:rsidRPr="004B75B8">
        <w:rPr>
          <w:rFonts w:ascii="Arial" w:hAnsi="Arial" w:cs="Arial"/>
          <w:sz w:val="24"/>
          <w:szCs w:val="24"/>
        </w:rPr>
        <w:t>(7): p. 1028-44.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250.</w:t>
      </w:r>
      <w:r w:rsidRPr="004B75B8">
        <w:rPr>
          <w:rFonts w:ascii="Arial" w:hAnsi="Arial" w:cs="Arial"/>
          <w:sz w:val="24"/>
          <w:szCs w:val="24"/>
        </w:rPr>
        <w:tab/>
        <w:t xml:space="preserve">Hozawa, A., et al., </w:t>
      </w:r>
      <w:r w:rsidRPr="004B75B8">
        <w:rPr>
          <w:rFonts w:ascii="Arial" w:hAnsi="Arial" w:cs="Arial"/>
          <w:i/>
          <w:sz w:val="24"/>
          <w:szCs w:val="24"/>
        </w:rPr>
        <w:t xml:space="preserve">The association of cigarette smoking with self-reported disease before middle age: the Coronary Artery Risk </w:t>
      </w:r>
      <w:r w:rsidRPr="004B75B8">
        <w:rPr>
          <w:rFonts w:ascii="Arial" w:hAnsi="Arial" w:cs="Arial"/>
          <w:i/>
          <w:sz w:val="24"/>
          <w:szCs w:val="24"/>
        </w:rPr>
        <w:lastRenderedPageBreak/>
        <w:t>Development in Young Adults (CARDIA) study.</w:t>
      </w:r>
      <w:r w:rsidRPr="004B75B8">
        <w:rPr>
          <w:rFonts w:ascii="Arial" w:hAnsi="Arial" w:cs="Arial"/>
          <w:sz w:val="24"/>
          <w:szCs w:val="24"/>
        </w:rPr>
        <w:t xml:space="preserve"> Prev Med, 2006. </w:t>
      </w:r>
      <w:r w:rsidRPr="004B75B8">
        <w:rPr>
          <w:rFonts w:ascii="Arial" w:hAnsi="Arial" w:cs="Arial"/>
          <w:b/>
          <w:sz w:val="24"/>
          <w:szCs w:val="24"/>
        </w:rPr>
        <w:t>42</w:t>
      </w:r>
      <w:r w:rsidRPr="004B75B8">
        <w:rPr>
          <w:rFonts w:ascii="Arial" w:hAnsi="Arial" w:cs="Arial"/>
          <w:sz w:val="24"/>
          <w:szCs w:val="24"/>
        </w:rPr>
        <w:t>(3): p. 193-9.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251.</w:t>
      </w:r>
      <w:r w:rsidRPr="004B75B8">
        <w:rPr>
          <w:rFonts w:ascii="Arial" w:hAnsi="Arial" w:cs="Arial"/>
          <w:sz w:val="24"/>
          <w:szCs w:val="24"/>
        </w:rPr>
        <w:tab/>
        <w:t xml:space="preserve">Katsarava, Z. and C. Weimar, </w:t>
      </w:r>
      <w:r w:rsidRPr="004B75B8">
        <w:rPr>
          <w:rFonts w:ascii="Arial" w:hAnsi="Arial" w:cs="Arial"/>
          <w:i/>
          <w:sz w:val="24"/>
          <w:szCs w:val="24"/>
        </w:rPr>
        <w:t>Migraine and stroke.</w:t>
      </w:r>
      <w:r w:rsidRPr="004B75B8">
        <w:rPr>
          <w:rFonts w:ascii="Arial" w:hAnsi="Arial" w:cs="Arial"/>
          <w:sz w:val="24"/>
          <w:szCs w:val="24"/>
        </w:rPr>
        <w:t xml:space="preserve"> J Neurol Sci, 2010. </w:t>
      </w:r>
      <w:r w:rsidRPr="004B75B8">
        <w:rPr>
          <w:rFonts w:ascii="Arial" w:hAnsi="Arial" w:cs="Arial"/>
          <w:b/>
          <w:sz w:val="24"/>
          <w:szCs w:val="24"/>
        </w:rPr>
        <w:t>299</w:t>
      </w:r>
      <w:r w:rsidRPr="004B75B8">
        <w:rPr>
          <w:rFonts w:ascii="Arial" w:hAnsi="Arial" w:cs="Arial"/>
          <w:sz w:val="24"/>
          <w:szCs w:val="24"/>
        </w:rPr>
        <w:t>(1-2): p. 42-4.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252.</w:t>
      </w:r>
      <w:r w:rsidRPr="004B75B8">
        <w:rPr>
          <w:rFonts w:ascii="Arial" w:hAnsi="Arial" w:cs="Arial"/>
          <w:sz w:val="24"/>
          <w:szCs w:val="24"/>
        </w:rPr>
        <w:tab/>
        <w:t xml:space="preserve">Rockett, F.C., et al., </w:t>
      </w:r>
      <w:r w:rsidRPr="004B75B8">
        <w:rPr>
          <w:rFonts w:ascii="Arial" w:hAnsi="Arial" w:cs="Arial"/>
          <w:i/>
          <w:sz w:val="24"/>
          <w:szCs w:val="24"/>
        </w:rPr>
        <w:t>Cardiovascular disease risk in women with migraine.</w:t>
      </w:r>
      <w:r w:rsidRPr="004B75B8">
        <w:rPr>
          <w:rFonts w:ascii="Arial" w:hAnsi="Arial" w:cs="Arial"/>
          <w:sz w:val="24"/>
          <w:szCs w:val="24"/>
        </w:rPr>
        <w:t xml:space="preserve"> J Headache Pain, 2013. </w:t>
      </w:r>
      <w:r w:rsidRPr="004B75B8">
        <w:rPr>
          <w:rFonts w:ascii="Arial" w:hAnsi="Arial" w:cs="Arial"/>
          <w:b/>
          <w:sz w:val="24"/>
          <w:szCs w:val="24"/>
        </w:rPr>
        <w:t>14</w:t>
      </w:r>
      <w:r w:rsidRPr="004B75B8">
        <w:rPr>
          <w:rFonts w:ascii="Arial" w:hAnsi="Arial" w:cs="Arial"/>
          <w:sz w:val="24"/>
          <w:szCs w:val="24"/>
        </w:rPr>
        <w:t>: p. 75.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253.</w:t>
      </w:r>
      <w:r w:rsidRPr="004B75B8">
        <w:rPr>
          <w:rFonts w:ascii="Arial" w:hAnsi="Arial" w:cs="Arial"/>
          <w:sz w:val="24"/>
          <w:szCs w:val="24"/>
        </w:rPr>
        <w:tab/>
        <w:t xml:space="preserve">Roberto, G., et al., </w:t>
      </w:r>
      <w:r w:rsidRPr="004B75B8">
        <w:rPr>
          <w:rFonts w:ascii="Arial" w:hAnsi="Arial" w:cs="Arial"/>
          <w:i/>
          <w:sz w:val="24"/>
          <w:szCs w:val="24"/>
        </w:rPr>
        <w:t>Adverse cardiovascular events associated with triptans and ergotamines for treatment of migraine: systematic review of observational studies.</w:t>
      </w:r>
      <w:r w:rsidRPr="004B75B8">
        <w:rPr>
          <w:rFonts w:ascii="Arial" w:hAnsi="Arial" w:cs="Arial"/>
          <w:sz w:val="24"/>
          <w:szCs w:val="24"/>
        </w:rPr>
        <w:t xml:space="preserve"> Cephalalgia, 2015. </w:t>
      </w:r>
      <w:r w:rsidRPr="004B75B8">
        <w:rPr>
          <w:rFonts w:ascii="Arial" w:hAnsi="Arial" w:cs="Arial"/>
          <w:b/>
          <w:sz w:val="24"/>
          <w:szCs w:val="24"/>
        </w:rPr>
        <w:t>35</w:t>
      </w:r>
      <w:r w:rsidRPr="004B75B8">
        <w:rPr>
          <w:rFonts w:ascii="Arial" w:hAnsi="Arial" w:cs="Arial"/>
          <w:sz w:val="24"/>
          <w:szCs w:val="24"/>
        </w:rPr>
        <w:t>(2): p. 118-31.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254.</w:t>
      </w:r>
      <w:r w:rsidRPr="004B75B8">
        <w:rPr>
          <w:rFonts w:ascii="Arial" w:hAnsi="Arial" w:cs="Arial"/>
          <w:sz w:val="24"/>
          <w:szCs w:val="24"/>
        </w:rPr>
        <w:tab/>
        <w:t xml:space="preserve">Becker, C., et al., </w:t>
      </w:r>
      <w:r w:rsidRPr="004B75B8">
        <w:rPr>
          <w:rFonts w:ascii="Arial" w:hAnsi="Arial" w:cs="Arial"/>
          <w:i/>
          <w:sz w:val="24"/>
          <w:szCs w:val="24"/>
        </w:rPr>
        <w:t>Migraine and the risk of stroke, TIA, or death in the UK (CME).</w:t>
      </w:r>
      <w:r w:rsidRPr="004B75B8">
        <w:rPr>
          <w:rFonts w:ascii="Arial" w:hAnsi="Arial" w:cs="Arial"/>
          <w:sz w:val="24"/>
          <w:szCs w:val="24"/>
        </w:rPr>
        <w:t xml:space="preserve"> Headache, 2007. </w:t>
      </w:r>
      <w:r w:rsidRPr="004B75B8">
        <w:rPr>
          <w:rFonts w:ascii="Arial" w:hAnsi="Arial" w:cs="Arial"/>
          <w:b/>
          <w:sz w:val="24"/>
          <w:szCs w:val="24"/>
        </w:rPr>
        <w:t>47</w:t>
      </w:r>
      <w:r w:rsidRPr="004B75B8">
        <w:rPr>
          <w:rFonts w:ascii="Arial" w:hAnsi="Arial" w:cs="Arial"/>
          <w:sz w:val="24"/>
          <w:szCs w:val="24"/>
        </w:rPr>
        <w:t>(10): p. 1374-84.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255.</w:t>
      </w:r>
      <w:r w:rsidRPr="004B75B8">
        <w:rPr>
          <w:rFonts w:ascii="Arial" w:hAnsi="Arial" w:cs="Arial"/>
          <w:sz w:val="24"/>
          <w:szCs w:val="24"/>
        </w:rPr>
        <w:tab/>
        <w:t xml:space="preserve">Martin, V.T. and J.A. Goldstein, </w:t>
      </w:r>
      <w:r w:rsidRPr="004B75B8">
        <w:rPr>
          <w:rFonts w:ascii="Arial" w:hAnsi="Arial" w:cs="Arial"/>
          <w:i/>
          <w:sz w:val="24"/>
          <w:szCs w:val="24"/>
        </w:rPr>
        <w:t>Evaluating the safety and tolerability profile of acute treatments for migraine.</w:t>
      </w:r>
      <w:r w:rsidRPr="004B75B8">
        <w:rPr>
          <w:rFonts w:ascii="Arial" w:hAnsi="Arial" w:cs="Arial"/>
          <w:sz w:val="24"/>
          <w:szCs w:val="24"/>
        </w:rPr>
        <w:t xml:space="preserve"> Am J Med, 2005. </w:t>
      </w:r>
      <w:r w:rsidRPr="004B75B8">
        <w:rPr>
          <w:rFonts w:ascii="Arial" w:hAnsi="Arial" w:cs="Arial"/>
          <w:b/>
          <w:sz w:val="24"/>
          <w:szCs w:val="24"/>
        </w:rPr>
        <w:t>118 Suppl 1</w:t>
      </w:r>
      <w:r w:rsidRPr="004B75B8">
        <w:rPr>
          <w:rFonts w:ascii="Arial" w:hAnsi="Arial" w:cs="Arial"/>
          <w:sz w:val="24"/>
          <w:szCs w:val="24"/>
        </w:rPr>
        <w:t>: p. 36S-44S.</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256.</w:t>
      </w:r>
      <w:r w:rsidRPr="004B75B8">
        <w:rPr>
          <w:rFonts w:ascii="Arial" w:hAnsi="Arial" w:cs="Arial"/>
          <w:sz w:val="24"/>
          <w:szCs w:val="24"/>
        </w:rPr>
        <w:tab/>
        <w:t xml:space="preserve">Faubion, S.S., P.M. Casey, and L.T. Shuster, </w:t>
      </w:r>
      <w:r w:rsidRPr="004B75B8">
        <w:rPr>
          <w:rFonts w:ascii="Arial" w:hAnsi="Arial" w:cs="Arial"/>
          <w:i/>
          <w:sz w:val="24"/>
          <w:szCs w:val="24"/>
        </w:rPr>
        <w:t>Hormonal contraception and migraine: clinical considerations.</w:t>
      </w:r>
      <w:r w:rsidRPr="004B75B8">
        <w:rPr>
          <w:rFonts w:ascii="Arial" w:hAnsi="Arial" w:cs="Arial"/>
          <w:sz w:val="24"/>
          <w:szCs w:val="24"/>
        </w:rPr>
        <w:t xml:space="preserve"> Curr Pain Headache Rep, 2012. </w:t>
      </w:r>
      <w:r w:rsidRPr="004B75B8">
        <w:rPr>
          <w:rFonts w:ascii="Arial" w:hAnsi="Arial" w:cs="Arial"/>
          <w:b/>
          <w:sz w:val="24"/>
          <w:szCs w:val="24"/>
        </w:rPr>
        <w:t>16</w:t>
      </w:r>
      <w:r w:rsidRPr="004B75B8">
        <w:rPr>
          <w:rFonts w:ascii="Arial" w:hAnsi="Arial" w:cs="Arial"/>
          <w:sz w:val="24"/>
          <w:szCs w:val="24"/>
        </w:rPr>
        <w:t>(5): p. 461-6.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257.</w:t>
      </w:r>
      <w:r w:rsidRPr="004B75B8">
        <w:rPr>
          <w:rFonts w:ascii="Arial" w:hAnsi="Arial" w:cs="Arial"/>
          <w:sz w:val="24"/>
          <w:szCs w:val="24"/>
        </w:rPr>
        <w:tab/>
        <w:t xml:space="preserve">Calhoun, A., </w:t>
      </w:r>
      <w:r w:rsidRPr="004B75B8">
        <w:rPr>
          <w:rFonts w:ascii="Arial" w:hAnsi="Arial" w:cs="Arial"/>
          <w:i/>
          <w:sz w:val="24"/>
          <w:szCs w:val="24"/>
        </w:rPr>
        <w:t>Combined hormonal contraceptives: is it time to reassess their role in migraine?</w:t>
      </w:r>
      <w:r w:rsidRPr="004B75B8">
        <w:rPr>
          <w:rFonts w:ascii="Arial" w:hAnsi="Arial" w:cs="Arial"/>
          <w:sz w:val="24"/>
          <w:szCs w:val="24"/>
        </w:rPr>
        <w:t xml:space="preserve"> Headache, 2012. </w:t>
      </w:r>
      <w:r w:rsidRPr="004B75B8">
        <w:rPr>
          <w:rFonts w:ascii="Arial" w:hAnsi="Arial" w:cs="Arial"/>
          <w:b/>
          <w:sz w:val="24"/>
          <w:szCs w:val="24"/>
        </w:rPr>
        <w:t>52</w:t>
      </w:r>
      <w:r w:rsidRPr="004B75B8">
        <w:rPr>
          <w:rFonts w:ascii="Arial" w:hAnsi="Arial" w:cs="Arial"/>
          <w:sz w:val="24"/>
          <w:szCs w:val="24"/>
        </w:rPr>
        <w:t>(4): p. 648-60.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258.</w:t>
      </w:r>
      <w:r w:rsidRPr="004B75B8">
        <w:rPr>
          <w:rFonts w:ascii="Arial" w:hAnsi="Arial" w:cs="Arial"/>
          <w:sz w:val="24"/>
          <w:szCs w:val="24"/>
        </w:rPr>
        <w:tab/>
        <w:t xml:space="preserve">Calhoun, A.H., </w:t>
      </w:r>
      <w:r w:rsidRPr="004B75B8">
        <w:rPr>
          <w:rFonts w:ascii="Arial" w:hAnsi="Arial" w:cs="Arial"/>
          <w:i/>
          <w:sz w:val="24"/>
          <w:szCs w:val="24"/>
        </w:rPr>
        <w:t>Hormonal Contraceptives and Migraine With Aura-Is There Still a Risk?</w:t>
      </w:r>
      <w:r w:rsidRPr="004B75B8">
        <w:rPr>
          <w:rFonts w:ascii="Arial" w:hAnsi="Arial" w:cs="Arial"/>
          <w:sz w:val="24"/>
          <w:szCs w:val="24"/>
        </w:rPr>
        <w:t xml:space="preserve"> Headache, 2017. </w:t>
      </w:r>
      <w:r w:rsidRPr="004B75B8">
        <w:rPr>
          <w:rFonts w:ascii="Arial" w:hAnsi="Arial" w:cs="Arial"/>
          <w:b/>
          <w:sz w:val="24"/>
          <w:szCs w:val="24"/>
        </w:rPr>
        <w:t>57</w:t>
      </w:r>
      <w:r w:rsidRPr="004B75B8">
        <w:rPr>
          <w:rFonts w:ascii="Arial" w:hAnsi="Arial" w:cs="Arial"/>
          <w:sz w:val="24"/>
          <w:szCs w:val="24"/>
        </w:rPr>
        <w:t>(2): p. 184-193.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259.</w:t>
      </w:r>
      <w:r w:rsidRPr="004B75B8">
        <w:rPr>
          <w:rFonts w:ascii="Arial" w:hAnsi="Arial" w:cs="Arial"/>
          <w:sz w:val="24"/>
          <w:szCs w:val="24"/>
        </w:rPr>
        <w:tab/>
        <w:t xml:space="preserve">Martin, V.T. and M. Behbehani, </w:t>
      </w:r>
      <w:r w:rsidRPr="004B75B8">
        <w:rPr>
          <w:rFonts w:ascii="Arial" w:hAnsi="Arial" w:cs="Arial"/>
          <w:i/>
          <w:sz w:val="24"/>
          <w:szCs w:val="24"/>
        </w:rPr>
        <w:t>Ovarian hormones and migraine headache: understanding mechanisms and pathogenesis--part 2.</w:t>
      </w:r>
      <w:r w:rsidRPr="004B75B8">
        <w:rPr>
          <w:rFonts w:ascii="Arial" w:hAnsi="Arial" w:cs="Arial"/>
          <w:sz w:val="24"/>
          <w:szCs w:val="24"/>
        </w:rPr>
        <w:t xml:space="preserve"> Headache, 2006. </w:t>
      </w:r>
      <w:r w:rsidRPr="004B75B8">
        <w:rPr>
          <w:rFonts w:ascii="Arial" w:hAnsi="Arial" w:cs="Arial"/>
          <w:b/>
          <w:sz w:val="24"/>
          <w:szCs w:val="24"/>
        </w:rPr>
        <w:t>46</w:t>
      </w:r>
      <w:r w:rsidRPr="004B75B8">
        <w:rPr>
          <w:rFonts w:ascii="Arial" w:hAnsi="Arial" w:cs="Arial"/>
          <w:sz w:val="24"/>
          <w:szCs w:val="24"/>
        </w:rPr>
        <w:t>(3): p. 365-86.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260.</w:t>
      </w:r>
      <w:r w:rsidRPr="004B75B8">
        <w:rPr>
          <w:rFonts w:ascii="Arial" w:hAnsi="Arial" w:cs="Arial"/>
          <w:sz w:val="24"/>
          <w:szCs w:val="24"/>
        </w:rPr>
        <w:tab/>
        <w:t xml:space="preserve">Willie, C.K., et al., </w:t>
      </w:r>
      <w:r w:rsidRPr="004B75B8">
        <w:rPr>
          <w:rFonts w:ascii="Arial" w:hAnsi="Arial" w:cs="Arial"/>
          <w:i/>
          <w:sz w:val="24"/>
          <w:szCs w:val="24"/>
        </w:rPr>
        <w:t>Integrative regulation of human brain blood flow.</w:t>
      </w:r>
      <w:r w:rsidRPr="004B75B8">
        <w:rPr>
          <w:rFonts w:ascii="Arial" w:hAnsi="Arial" w:cs="Arial"/>
          <w:sz w:val="24"/>
          <w:szCs w:val="24"/>
        </w:rPr>
        <w:t xml:space="preserve"> J Physiol, 2014. </w:t>
      </w:r>
      <w:r w:rsidRPr="004B75B8">
        <w:rPr>
          <w:rFonts w:ascii="Arial" w:hAnsi="Arial" w:cs="Arial"/>
          <w:b/>
          <w:sz w:val="24"/>
          <w:szCs w:val="24"/>
        </w:rPr>
        <w:t>592</w:t>
      </w:r>
      <w:r w:rsidRPr="004B75B8">
        <w:rPr>
          <w:rFonts w:ascii="Arial" w:hAnsi="Arial" w:cs="Arial"/>
          <w:sz w:val="24"/>
          <w:szCs w:val="24"/>
        </w:rPr>
        <w:t>(5): p. 841-59.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261.</w:t>
      </w:r>
      <w:r w:rsidRPr="004B75B8">
        <w:rPr>
          <w:rFonts w:ascii="Arial" w:hAnsi="Arial" w:cs="Arial"/>
          <w:sz w:val="24"/>
          <w:szCs w:val="24"/>
        </w:rPr>
        <w:tab/>
        <w:t xml:space="preserve">Ainslie, P.N. and J. Duffin, </w:t>
      </w:r>
      <w:r w:rsidRPr="004B75B8">
        <w:rPr>
          <w:rFonts w:ascii="Arial" w:hAnsi="Arial" w:cs="Arial"/>
          <w:i/>
          <w:sz w:val="24"/>
          <w:szCs w:val="24"/>
        </w:rPr>
        <w:t>Integration of cerebrovascular CO2 reactivity and chemoreflex control of breathing: mechanisms of regulation, measurement, and interpretation.</w:t>
      </w:r>
      <w:r w:rsidRPr="004B75B8">
        <w:rPr>
          <w:rFonts w:ascii="Arial" w:hAnsi="Arial" w:cs="Arial"/>
          <w:sz w:val="24"/>
          <w:szCs w:val="24"/>
        </w:rPr>
        <w:t xml:space="preserve"> Am J Physiol Regul Integr Comp Physiol, 2009. </w:t>
      </w:r>
      <w:r w:rsidRPr="004B75B8">
        <w:rPr>
          <w:rFonts w:ascii="Arial" w:hAnsi="Arial" w:cs="Arial"/>
          <w:b/>
          <w:sz w:val="24"/>
          <w:szCs w:val="24"/>
        </w:rPr>
        <w:t>296</w:t>
      </w:r>
      <w:r w:rsidRPr="004B75B8">
        <w:rPr>
          <w:rFonts w:ascii="Arial" w:hAnsi="Arial" w:cs="Arial"/>
          <w:sz w:val="24"/>
          <w:szCs w:val="24"/>
        </w:rPr>
        <w:t>(5): p. R1473-95.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262.</w:t>
      </w:r>
      <w:r w:rsidRPr="004B75B8">
        <w:rPr>
          <w:rFonts w:ascii="Arial" w:hAnsi="Arial" w:cs="Arial"/>
          <w:sz w:val="24"/>
          <w:szCs w:val="24"/>
        </w:rPr>
        <w:tab/>
        <w:t xml:space="preserve">Azevedo, E., et al., </w:t>
      </w:r>
      <w:r w:rsidRPr="004B75B8">
        <w:rPr>
          <w:rFonts w:ascii="Arial" w:hAnsi="Arial" w:cs="Arial"/>
          <w:i/>
          <w:sz w:val="24"/>
          <w:szCs w:val="24"/>
        </w:rPr>
        <w:t>Interplay of cerebral autoregulation and neurovascular coupling evaluated by functional TCD in different orthostatic conditions.</w:t>
      </w:r>
      <w:r w:rsidRPr="004B75B8">
        <w:rPr>
          <w:rFonts w:ascii="Arial" w:hAnsi="Arial" w:cs="Arial"/>
          <w:sz w:val="24"/>
          <w:szCs w:val="24"/>
        </w:rPr>
        <w:t xml:space="preserve"> J Neurol, 2007. </w:t>
      </w:r>
      <w:r w:rsidRPr="004B75B8">
        <w:rPr>
          <w:rFonts w:ascii="Arial" w:hAnsi="Arial" w:cs="Arial"/>
          <w:b/>
          <w:sz w:val="24"/>
          <w:szCs w:val="24"/>
        </w:rPr>
        <w:t>254</w:t>
      </w:r>
      <w:r w:rsidRPr="004B75B8">
        <w:rPr>
          <w:rFonts w:ascii="Arial" w:hAnsi="Arial" w:cs="Arial"/>
          <w:sz w:val="24"/>
          <w:szCs w:val="24"/>
        </w:rPr>
        <w:t>(2): p. 236-41.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263.</w:t>
      </w:r>
      <w:r w:rsidRPr="004B75B8">
        <w:rPr>
          <w:rFonts w:ascii="Arial" w:hAnsi="Arial" w:cs="Arial"/>
          <w:sz w:val="24"/>
          <w:szCs w:val="24"/>
        </w:rPr>
        <w:tab/>
        <w:t xml:space="preserve">Castro, P.M., et al., </w:t>
      </w:r>
      <w:r w:rsidRPr="004B75B8">
        <w:rPr>
          <w:rFonts w:ascii="Arial" w:hAnsi="Arial" w:cs="Arial"/>
          <w:i/>
          <w:sz w:val="24"/>
          <w:szCs w:val="24"/>
        </w:rPr>
        <w:t>Autonomic dysfunction affects dynamic cerebral autoregulation during Valsalva maneuver: comparison between healthy and autonomic dysfunction subjects.</w:t>
      </w:r>
      <w:r w:rsidRPr="004B75B8">
        <w:rPr>
          <w:rFonts w:ascii="Arial" w:hAnsi="Arial" w:cs="Arial"/>
          <w:sz w:val="24"/>
          <w:szCs w:val="24"/>
        </w:rPr>
        <w:t xml:space="preserve"> J Appl Physiol (1985), 2014. </w:t>
      </w:r>
      <w:r w:rsidRPr="004B75B8">
        <w:rPr>
          <w:rFonts w:ascii="Arial" w:hAnsi="Arial" w:cs="Arial"/>
          <w:b/>
          <w:sz w:val="24"/>
          <w:szCs w:val="24"/>
        </w:rPr>
        <w:t>117</w:t>
      </w:r>
      <w:r w:rsidRPr="004B75B8">
        <w:rPr>
          <w:rFonts w:ascii="Arial" w:hAnsi="Arial" w:cs="Arial"/>
          <w:sz w:val="24"/>
          <w:szCs w:val="24"/>
        </w:rPr>
        <w:t>(3): p. 205-13.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264.</w:t>
      </w:r>
      <w:r w:rsidRPr="004B75B8">
        <w:rPr>
          <w:rFonts w:ascii="Arial" w:hAnsi="Arial" w:cs="Arial"/>
          <w:sz w:val="24"/>
          <w:szCs w:val="24"/>
        </w:rPr>
        <w:tab/>
        <w:t xml:space="preserve">Rosengarten, B., O. Huwendiek, and M. Kaps, </w:t>
      </w:r>
      <w:r w:rsidRPr="004B75B8">
        <w:rPr>
          <w:rFonts w:ascii="Arial" w:hAnsi="Arial" w:cs="Arial"/>
          <w:i/>
          <w:sz w:val="24"/>
          <w:szCs w:val="24"/>
        </w:rPr>
        <w:t>Neurovascular coupling and cerebral autoregulation can be described in terms of a control system.</w:t>
      </w:r>
      <w:r w:rsidRPr="004B75B8">
        <w:rPr>
          <w:rFonts w:ascii="Arial" w:hAnsi="Arial" w:cs="Arial"/>
          <w:sz w:val="24"/>
          <w:szCs w:val="24"/>
        </w:rPr>
        <w:t xml:space="preserve"> Ultrasound Med Biol, 2001. </w:t>
      </w:r>
      <w:r w:rsidRPr="004B75B8">
        <w:rPr>
          <w:rFonts w:ascii="Arial" w:hAnsi="Arial" w:cs="Arial"/>
          <w:b/>
          <w:sz w:val="24"/>
          <w:szCs w:val="24"/>
        </w:rPr>
        <w:t>27</w:t>
      </w:r>
      <w:r w:rsidRPr="004B75B8">
        <w:rPr>
          <w:rFonts w:ascii="Arial" w:hAnsi="Arial" w:cs="Arial"/>
          <w:sz w:val="24"/>
          <w:szCs w:val="24"/>
        </w:rPr>
        <w:t>(2): p. 189-93.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265.</w:t>
      </w:r>
      <w:r w:rsidRPr="004B75B8">
        <w:rPr>
          <w:rFonts w:ascii="Arial" w:hAnsi="Arial" w:cs="Arial"/>
          <w:sz w:val="24"/>
          <w:szCs w:val="24"/>
        </w:rPr>
        <w:tab/>
        <w:t xml:space="preserve">Harper, A.M. and H.I. Glass, </w:t>
      </w:r>
      <w:r w:rsidRPr="004B75B8">
        <w:rPr>
          <w:rFonts w:ascii="Arial" w:hAnsi="Arial" w:cs="Arial"/>
          <w:i/>
          <w:sz w:val="24"/>
          <w:szCs w:val="24"/>
        </w:rPr>
        <w:t xml:space="preserve">Effect of alterations in the arterial carbon dioxide tension on the blood flow through the cerebral cortex at normal </w:t>
      </w:r>
      <w:r w:rsidRPr="004B75B8">
        <w:rPr>
          <w:rFonts w:ascii="Arial" w:hAnsi="Arial" w:cs="Arial"/>
          <w:i/>
          <w:sz w:val="24"/>
          <w:szCs w:val="24"/>
        </w:rPr>
        <w:lastRenderedPageBreak/>
        <w:t>and low arterial blood pressures.</w:t>
      </w:r>
      <w:r w:rsidRPr="004B75B8">
        <w:rPr>
          <w:rFonts w:ascii="Arial" w:hAnsi="Arial" w:cs="Arial"/>
          <w:sz w:val="24"/>
          <w:szCs w:val="24"/>
        </w:rPr>
        <w:t xml:space="preserve"> J Neurol Neurosurg Psychiatry, 1965. </w:t>
      </w:r>
      <w:r w:rsidRPr="004B75B8">
        <w:rPr>
          <w:rFonts w:ascii="Arial" w:hAnsi="Arial" w:cs="Arial"/>
          <w:b/>
          <w:sz w:val="24"/>
          <w:szCs w:val="24"/>
        </w:rPr>
        <w:t>28</w:t>
      </w:r>
      <w:r w:rsidRPr="004B75B8">
        <w:rPr>
          <w:rFonts w:ascii="Arial" w:hAnsi="Arial" w:cs="Arial"/>
          <w:sz w:val="24"/>
          <w:szCs w:val="24"/>
        </w:rPr>
        <w:t>(5): p. 449-52.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266.</w:t>
      </w:r>
      <w:r w:rsidRPr="004B75B8">
        <w:rPr>
          <w:rFonts w:ascii="Arial" w:hAnsi="Arial" w:cs="Arial"/>
          <w:sz w:val="24"/>
          <w:szCs w:val="24"/>
        </w:rPr>
        <w:tab/>
        <w:t xml:space="preserve">Sharma, V.K., et al., </w:t>
      </w:r>
      <w:r w:rsidRPr="004B75B8">
        <w:rPr>
          <w:rFonts w:ascii="Arial" w:hAnsi="Arial" w:cs="Arial"/>
          <w:i/>
          <w:sz w:val="24"/>
          <w:szCs w:val="24"/>
        </w:rPr>
        <w:t>Role of Multimodal Evaluation of Cerebral Hemodynamics in Selecting Patients with Symptomatic Carotid or Middle Cerebral Artery Steno-occlusive Disease for Revascularization.</w:t>
      </w:r>
      <w:r w:rsidRPr="004B75B8">
        <w:rPr>
          <w:rFonts w:ascii="Arial" w:hAnsi="Arial" w:cs="Arial"/>
          <w:sz w:val="24"/>
          <w:szCs w:val="24"/>
        </w:rPr>
        <w:t xml:space="preserve"> J Vasc Interv Neurol, 2008. </w:t>
      </w:r>
      <w:r w:rsidRPr="004B75B8">
        <w:rPr>
          <w:rFonts w:ascii="Arial" w:hAnsi="Arial" w:cs="Arial"/>
          <w:b/>
          <w:sz w:val="24"/>
          <w:szCs w:val="24"/>
        </w:rPr>
        <w:t>1</w:t>
      </w:r>
      <w:r w:rsidRPr="004B75B8">
        <w:rPr>
          <w:rFonts w:ascii="Arial" w:hAnsi="Arial" w:cs="Arial"/>
          <w:sz w:val="24"/>
          <w:szCs w:val="24"/>
        </w:rPr>
        <w:t>(4): p. 96-101.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267.</w:t>
      </w:r>
      <w:r w:rsidRPr="004B75B8">
        <w:rPr>
          <w:rFonts w:ascii="Arial" w:hAnsi="Arial" w:cs="Arial"/>
          <w:sz w:val="24"/>
          <w:szCs w:val="24"/>
        </w:rPr>
        <w:tab/>
        <w:t xml:space="preserve">Brown, M.M., et al., </w:t>
      </w:r>
      <w:r w:rsidRPr="004B75B8">
        <w:rPr>
          <w:rFonts w:ascii="Arial" w:hAnsi="Arial" w:cs="Arial"/>
          <w:i/>
          <w:sz w:val="24"/>
          <w:szCs w:val="24"/>
        </w:rPr>
        <w:t>Reactivity of the cerebral circulation in patients with carotid occlusion.</w:t>
      </w:r>
      <w:r w:rsidRPr="004B75B8">
        <w:rPr>
          <w:rFonts w:ascii="Arial" w:hAnsi="Arial" w:cs="Arial"/>
          <w:sz w:val="24"/>
          <w:szCs w:val="24"/>
        </w:rPr>
        <w:t xml:space="preserve"> J Neurol Neurosurg Psychiatry, 1986. </w:t>
      </w:r>
      <w:r w:rsidRPr="004B75B8">
        <w:rPr>
          <w:rFonts w:ascii="Arial" w:hAnsi="Arial" w:cs="Arial"/>
          <w:b/>
          <w:sz w:val="24"/>
          <w:szCs w:val="24"/>
        </w:rPr>
        <w:t>49</w:t>
      </w:r>
      <w:r w:rsidRPr="004B75B8">
        <w:rPr>
          <w:rFonts w:ascii="Arial" w:hAnsi="Arial" w:cs="Arial"/>
          <w:sz w:val="24"/>
          <w:szCs w:val="24"/>
        </w:rPr>
        <w:t>(8): p. 899-904.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268.</w:t>
      </w:r>
      <w:r w:rsidRPr="004B75B8">
        <w:rPr>
          <w:rFonts w:ascii="Arial" w:hAnsi="Arial" w:cs="Arial"/>
          <w:sz w:val="24"/>
          <w:szCs w:val="24"/>
        </w:rPr>
        <w:tab/>
        <w:t xml:space="preserve">Gur, D., et al., </w:t>
      </w:r>
      <w:r w:rsidRPr="004B75B8">
        <w:rPr>
          <w:rFonts w:ascii="Arial" w:hAnsi="Arial" w:cs="Arial"/>
          <w:i/>
          <w:sz w:val="24"/>
          <w:szCs w:val="24"/>
        </w:rPr>
        <w:t>Progress in cerebrovascular disease: local cerebral blood flow by xenon enhanced CT.</w:t>
      </w:r>
      <w:r w:rsidRPr="004B75B8">
        <w:rPr>
          <w:rFonts w:ascii="Arial" w:hAnsi="Arial" w:cs="Arial"/>
          <w:sz w:val="24"/>
          <w:szCs w:val="24"/>
        </w:rPr>
        <w:t xml:space="preserve"> Stroke, 1982. </w:t>
      </w:r>
      <w:r w:rsidRPr="004B75B8">
        <w:rPr>
          <w:rFonts w:ascii="Arial" w:hAnsi="Arial" w:cs="Arial"/>
          <w:b/>
          <w:sz w:val="24"/>
          <w:szCs w:val="24"/>
        </w:rPr>
        <w:t>13</w:t>
      </w:r>
      <w:r w:rsidRPr="004B75B8">
        <w:rPr>
          <w:rFonts w:ascii="Arial" w:hAnsi="Arial" w:cs="Arial"/>
          <w:sz w:val="24"/>
          <w:szCs w:val="24"/>
        </w:rPr>
        <w:t>(6): p. 750-8.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269.</w:t>
      </w:r>
      <w:r w:rsidRPr="004B75B8">
        <w:rPr>
          <w:rFonts w:ascii="Arial" w:hAnsi="Arial" w:cs="Arial"/>
          <w:sz w:val="24"/>
          <w:szCs w:val="24"/>
        </w:rPr>
        <w:tab/>
        <w:t xml:space="preserve">Gibbs, J.M., et al., </w:t>
      </w:r>
      <w:r w:rsidRPr="004B75B8">
        <w:rPr>
          <w:rFonts w:ascii="Arial" w:hAnsi="Arial" w:cs="Arial"/>
          <w:i/>
          <w:sz w:val="24"/>
          <w:szCs w:val="24"/>
        </w:rPr>
        <w:t>Cerebral haemodynamics in occlusive carotid-artery disease.</w:t>
      </w:r>
      <w:r w:rsidRPr="004B75B8">
        <w:rPr>
          <w:rFonts w:ascii="Arial" w:hAnsi="Arial" w:cs="Arial"/>
          <w:sz w:val="24"/>
          <w:szCs w:val="24"/>
        </w:rPr>
        <w:t xml:space="preserve"> Lancet, 1985. </w:t>
      </w:r>
      <w:r w:rsidRPr="004B75B8">
        <w:rPr>
          <w:rFonts w:ascii="Arial" w:hAnsi="Arial" w:cs="Arial"/>
          <w:b/>
          <w:sz w:val="24"/>
          <w:szCs w:val="24"/>
        </w:rPr>
        <w:t>1</w:t>
      </w:r>
      <w:r w:rsidRPr="004B75B8">
        <w:rPr>
          <w:rFonts w:ascii="Arial" w:hAnsi="Arial" w:cs="Arial"/>
          <w:sz w:val="24"/>
          <w:szCs w:val="24"/>
        </w:rPr>
        <w:t>(8434): p. 933-4.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270.</w:t>
      </w:r>
      <w:r w:rsidRPr="004B75B8">
        <w:rPr>
          <w:rFonts w:ascii="Arial" w:hAnsi="Arial" w:cs="Arial"/>
          <w:sz w:val="24"/>
          <w:szCs w:val="24"/>
        </w:rPr>
        <w:tab/>
        <w:t xml:space="preserve">Markus, H.S. and M.J. Harrison, </w:t>
      </w:r>
      <w:r w:rsidRPr="004B75B8">
        <w:rPr>
          <w:rFonts w:ascii="Arial" w:hAnsi="Arial" w:cs="Arial"/>
          <w:i/>
          <w:sz w:val="24"/>
          <w:szCs w:val="24"/>
        </w:rPr>
        <w:t>Estimation of cerebrovascular reactivity using transcranial Doppler, including the use of breath-holding as the vasodilatory stimulus.</w:t>
      </w:r>
      <w:r w:rsidRPr="004B75B8">
        <w:rPr>
          <w:rFonts w:ascii="Arial" w:hAnsi="Arial" w:cs="Arial"/>
          <w:sz w:val="24"/>
          <w:szCs w:val="24"/>
        </w:rPr>
        <w:t xml:space="preserve"> Stroke, 1992. </w:t>
      </w:r>
      <w:r w:rsidRPr="004B75B8">
        <w:rPr>
          <w:rFonts w:ascii="Arial" w:hAnsi="Arial" w:cs="Arial"/>
          <w:b/>
          <w:sz w:val="24"/>
          <w:szCs w:val="24"/>
        </w:rPr>
        <w:t>23</w:t>
      </w:r>
      <w:r w:rsidRPr="004B75B8">
        <w:rPr>
          <w:rFonts w:ascii="Arial" w:hAnsi="Arial" w:cs="Arial"/>
          <w:sz w:val="24"/>
          <w:szCs w:val="24"/>
        </w:rPr>
        <w:t>(5): p. 668-73.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271.</w:t>
      </w:r>
      <w:r w:rsidRPr="004B75B8">
        <w:rPr>
          <w:rFonts w:ascii="Arial" w:hAnsi="Arial" w:cs="Arial"/>
          <w:sz w:val="24"/>
          <w:szCs w:val="24"/>
        </w:rPr>
        <w:tab/>
        <w:t xml:space="preserve">Kety, S.S. and C.F. Schmidt, </w:t>
      </w:r>
      <w:r w:rsidRPr="004B75B8">
        <w:rPr>
          <w:rFonts w:ascii="Arial" w:hAnsi="Arial" w:cs="Arial"/>
          <w:i/>
          <w:sz w:val="24"/>
          <w:szCs w:val="24"/>
        </w:rPr>
        <w:t>The Nitrous Oxide Method for the Quantitative Determination of Cerebral Blood Flow in Man: Theory, Procedure and Normal Values.</w:t>
      </w:r>
      <w:r w:rsidRPr="004B75B8">
        <w:rPr>
          <w:rFonts w:ascii="Arial" w:hAnsi="Arial" w:cs="Arial"/>
          <w:sz w:val="24"/>
          <w:szCs w:val="24"/>
        </w:rPr>
        <w:t xml:space="preserve"> J Clin Invest, 1948. </w:t>
      </w:r>
      <w:r w:rsidRPr="004B75B8">
        <w:rPr>
          <w:rFonts w:ascii="Arial" w:hAnsi="Arial" w:cs="Arial"/>
          <w:b/>
          <w:sz w:val="24"/>
          <w:szCs w:val="24"/>
        </w:rPr>
        <w:t>27</w:t>
      </w:r>
      <w:r w:rsidRPr="004B75B8">
        <w:rPr>
          <w:rFonts w:ascii="Arial" w:hAnsi="Arial" w:cs="Arial"/>
          <w:sz w:val="24"/>
          <w:szCs w:val="24"/>
        </w:rPr>
        <w:t>(4): p. 476-83.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272.</w:t>
      </w:r>
      <w:r w:rsidRPr="004B75B8">
        <w:rPr>
          <w:rFonts w:ascii="Arial" w:hAnsi="Arial" w:cs="Arial"/>
          <w:sz w:val="24"/>
          <w:szCs w:val="24"/>
        </w:rPr>
        <w:tab/>
        <w:t xml:space="preserve">Ahnstedt, H., et al., </w:t>
      </w:r>
      <w:r w:rsidRPr="004B75B8">
        <w:rPr>
          <w:rFonts w:ascii="Arial" w:hAnsi="Arial" w:cs="Arial"/>
          <w:i/>
          <w:sz w:val="24"/>
          <w:szCs w:val="24"/>
        </w:rPr>
        <w:t>Male-female differences in upregulation of vasoconstrictor responses in human cerebral arteries.</w:t>
      </w:r>
      <w:r w:rsidRPr="004B75B8">
        <w:rPr>
          <w:rFonts w:ascii="Arial" w:hAnsi="Arial" w:cs="Arial"/>
          <w:sz w:val="24"/>
          <w:szCs w:val="24"/>
        </w:rPr>
        <w:t xml:space="preserve"> PLoS One, 2013. </w:t>
      </w:r>
      <w:r w:rsidRPr="004B75B8">
        <w:rPr>
          <w:rFonts w:ascii="Arial" w:hAnsi="Arial" w:cs="Arial"/>
          <w:b/>
          <w:sz w:val="24"/>
          <w:szCs w:val="24"/>
        </w:rPr>
        <w:t>8</w:t>
      </w:r>
      <w:r w:rsidRPr="004B75B8">
        <w:rPr>
          <w:rFonts w:ascii="Arial" w:hAnsi="Arial" w:cs="Arial"/>
          <w:sz w:val="24"/>
          <w:szCs w:val="24"/>
        </w:rPr>
        <w:t>(4): p. e62698.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273.</w:t>
      </w:r>
      <w:r w:rsidRPr="004B75B8">
        <w:rPr>
          <w:rFonts w:ascii="Arial" w:hAnsi="Arial" w:cs="Arial"/>
          <w:sz w:val="24"/>
          <w:szCs w:val="24"/>
        </w:rPr>
        <w:tab/>
        <w:t xml:space="preserve">Miyazaki, M. and K. Kato, </w:t>
      </w:r>
      <w:r w:rsidRPr="004B75B8">
        <w:rPr>
          <w:rFonts w:ascii="Arial" w:hAnsi="Arial" w:cs="Arial"/>
          <w:i/>
          <w:sz w:val="24"/>
          <w:szCs w:val="24"/>
        </w:rPr>
        <w:t>Measurement of Cerebral Blood Flow by Ultrasonic Doppler Technique; Hemodynamic Comparison of Right and Left Carotid Artery in Patients with Hemiplegia.</w:t>
      </w:r>
      <w:r w:rsidRPr="004B75B8">
        <w:rPr>
          <w:rFonts w:ascii="Arial" w:hAnsi="Arial" w:cs="Arial"/>
          <w:sz w:val="24"/>
          <w:szCs w:val="24"/>
        </w:rPr>
        <w:t xml:space="preserve"> Jpn Circ J, 1965. </w:t>
      </w:r>
      <w:r w:rsidRPr="004B75B8">
        <w:rPr>
          <w:rFonts w:ascii="Arial" w:hAnsi="Arial" w:cs="Arial"/>
          <w:b/>
          <w:sz w:val="24"/>
          <w:szCs w:val="24"/>
        </w:rPr>
        <w:t>29</w:t>
      </w:r>
      <w:r w:rsidRPr="004B75B8">
        <w:rPr>
          <w:rFonts w:ascii="Arial" w:hAnsi="Arial" w:cs="Arial"/>
          <w:sz w:val="24"/>
          <w:szCs w:val="24"/>
        </w:rPr>
        <w:t>: p. 383-6.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274.</w:t>
      </w:r>
      <w:r w:rsidRPr="004B75B8">
        <w:rPr>
          <w:rFonts w:ascii="Arial" w:hAnsi="Arial" w:cs="Arial"/>
          <w:sz w:val="24"/>
          <w:szCs w:val="24"/>
        </w:rPr>
        <w:tab/>
        <w:t xml:space="preserve">Valdueza, J.M., et al., </w:t>
      </w:r>
      <w:r w:rsidRPr="004B75B8">
        <w:rPr>
          <w:rFonts w:ascii="Arial" w:hAnsi="Arial" w:cs="Arial"/>
          <w:i/>
          <w:sz w:val="24"/>
          <w:szCs w:val="24"/>
        </w:rPr>
        <w:t>Changes in blood flow velocity and diameter of the middle cerebral artery during hyperventilation: assessment with MR and transcranial Doppler sonography.</w:t>
      </w:r>
      <w:r w:rsidRPr="004B75B8">
        <w:rPr>
          <w:rFonts w:ascii="Arial" w:hAnsi="Arial" w:cs="Arial"/>
          <w:sz w:val="24"/>
          <w:szCs w:val="24"/>
        </w:rPr>
        <w:t xml:space="preserve"> AJNR Am J Neuroradiol, 1997. </w:t>
      </w:r>
      <w:r w:rsidRPr="004B75B8">
        <w:rPr>
          <w:rFonts w:ascii="Arial" w:hAnsi="Arial" w:cs="Arial"/>
          <w:b/>
          <w:sz w:val="24"/>
          <w:szCs w:val="24"/>
        </w:rPr>
        <w:t>18</w:t>
      </w:r>
      <w:r w:rsidRPr="004B75B8">
        <w:rPr>
          <w:rFonts w:ascii="Arial" w:hAnsi="Arial" w:cs="Arial"/>
          <w:sz w:val="24"/>
          <w:szCs w:val="24"/>
        </w:rPr>
        <w:t>(10): p. 1929-34.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275.</w:t>
      </w:r>
      <w:r w:rsidRPr="004B75B8">
        <w:rPr>
          <w:rFonts w:ascii="Arial" w:hAnsi="Arial" w:cs="Arial"/>
          <w:sz w:val="24"/>
          <w:szCs w:val="24"/>
        </w:rPr>
        <w:tab/>
        <w:t xml:space="preserve">Aaslid, R., et al., </w:t>
      </w:r>
      <w:r w:rsidRPr="004B75B8">
        <w:rPr>
          <w:rFonts w:ascii="Arial" w:hAnsi="Arial" w:cs="Arial"/>
          <w:i/>
          <w:sz w:val="24"/>
          <w:szCs w:val="24"/>
        </w:rPr>
        <w:t>Assessment of cerebral autoregulation dynamics from simultaneous arterial and venous transcranial Doppler recordings in humans.</w:t>
      </w:r>
      <w:r w:rsidRPr="004B75B8">
        <w:rPr>
          <w:rFonts w:ascii="Arial" w:hAnsi="Arial" w:cs="Arial"/>
          <w:sz w:val="24"/>
          <w:szCs w:val="24"/>
        </w:rPr>
        <w:t xml:space="preserve"> Stroke, 1991. </w:t>
      </w:r>
      <w:r w:rsidRPr="004B75B8">
        <w:rPr>
          <w:rFonts w:ascii="Arial" w:hAnsi="Arial" w:cs="Arial"/>
          <w:b/>
          <w:sz w:val="24"/>
          <w:szCs w:val="24"/>
        </w:rPr>
        <w:t>22</w:t>
      </w:r>
      <w:r w:rsidRPr="004B75B8">
        <w:rPr>
          <w:rFonts w:ascii="Arial" w:hAnsi="Arial" w:cs="Arial"/>
          <w:sz w:val="24"/>
          <w:szCs w:val="24"/>
        </w:rPr>
        <w:t>(9): p. 1148-54.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276.</w:t>
      </w:r>
      <w:r w:rsidRPr="004B75B8">
        <w:rPr>
          <w:rFonts w:ascii="Arial" w:hAnsi="Arial" w:cs="Arial"/>
          <w:sz w:val="24"/>
          <w:szCs w:val="24"/>
        </w:rPr>
        <w:tab/>
        <w:t xml:space="preserve">Huber, P. and J. Handa, </w:t>
      </w:r>
      <w:r w:rsidRPr="004B75B8">
        <w:rPr>
          <w:rFonts w:ascii="Arial" w:hAnsi="Arial" w:cs="Arial"/>
          <w:i/>
          <w:sz w:val="24"/>
          <w:szCs w:val="24"/>
        </w:rPr>
        <w:t>Effect of contrast material, hypercapnia, hyperventilation, hypertonic glucose and papaverine on the diameter of the cerebral arteries. Angiographic determination in man.</w:t>
      </w:r>
      <w:r w:rsidRPr="004B75B8">
        <w:rPr>
          <w:rFonts w:ascii="Arial" w:hAnsi="Arial" w:cs="Arial"/>
          <w:sz w:val="24"/>
          <w:szCs w:val="24"/>
        </w:rPr>
        <w:t xml:space="preserve"> Invest Radiol, 1967. </w:t>
      </w:r>
      <w:r w:rsidRPr="004B75B8">
        <w:rPr>
          <w:rFonts w:ascii="Arial" w:hAnsi="Arial" w:cs="Arial"/>
          <w:b/>
          <w:sz w:val="24"/>
          <w:szCs w:val="24"/>
        </w:rPr>
        <w:t>2</w:t>
      </w:r>
      <w:r w:rsidRPr="004B75B8">
        <w:rPr>
          <w:rFonts w:ascii="Arial" w:hAnsi="Arial" w:cs="Arial"/>
          <w:sz w:val="24"/>
          <w:szCs w:val="24"/>
        </w:rPr>
        <w:t>(1): p. 17-32.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277.</w:t>
      </w:r>
      <w:r w:rsidRPr="004B75B8">
        <w:rPr>
          <w:rFonts w:ascii="Arial" w:hAnsi="Arial" w:cs="Arial"/>
          <w:sz w:val="24"/>
          <w:szCs w:val="24"/>
        </w:rPr>
        <w:tab/>
        <w:t xml:space="preserve">Topcuoglu, M.A., A. Unal, and E.M. Arsava, </w:t>
      </w:r>
      <w:r w:rsidRPr="004B75B8">
        <w:rPr>
          <w:rFonts w:ascii="Arial" w:hAnsi="Arial" w:cs="Arial"/>
          <w:i/>
          <w:sz w:val="24"/>
          <w:szCs w:val="24"/>
        </w:rPr>
        <w:t>Advances in transcranial Doppler clinical applications.</w:t>
      </w:r>
      <w:r w:rsidRPr="004B75B8">
        <w:rPr>
          <w:rFonts w:ascii="Arial" w:hAnsi="Arial" w:cs="Arial"/>
          <w:sz w:val="24"/>
          <w:szCs w:val="24"/>
        </w:rPr>
        <w:t xml:space="preserve"> Expert Opin Med Diagn, 2010. </w:t>
      </w:r>
      <w:r w:rsidRPr="004B75B8">
        <w:rPr>
          <w:rFonts w:ascii="Arial" w:hAnsi="Arial" w:cs="Arial"/>
          <w:b/>
          <w:sz w:val="24"/>
          <w:szCs w:val="24"/>
        </w:rPr>
        <w:t>4</w:t>
      </w:r>
      <w:r w:rsidRPr="004B75B8">
        <w:rPr>
          <w:rFonts w:ascii="Arial" w:hAnsi="Arial" w:cs="Arial"/>
          <w:sz w:val="24"/>
          <w:szCs w:val="24"/>
        </w:rPr>
        <w:t>(4): p. 343-58.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278.</w:t>
      </w:r>
      <w:r w:rsidRPr="004B75B8">
        <w:rPr>
          <w:rFonts w:ascii="Arial" w:hAnsi="Arial" w:cs="Arial"/>
          <w:sz w:val="24"/>
          <w:szCs w:val="24"/>
        </w:rPr>
        <w:tab/>
        <w:t xml:space="preserve">Panerai, R.B., et al., </w:t>
      </w:r>
      <w:r w:rsidRPr="004B75B8">
        <w:rPr>
          <w:rFonts w:ascii="Arial" w:hAnsi="Arial" w:cs="Arial"/>
          <w:i/>
          <w:sz w:val="24"/>
          <w:szCs w:val="24"/>
        </w:rPr>
        <w:t>Frequency-domain analysis of cerebral autoregulation from spontaneous fluctuations in arterial blood pressure.</w:t>
      </w:r>
      <w:r w:rsidRPr="004B75B8">
        <w:rPr>
          <w:rFonts w:ascii="Arial" w:hAnsi="Arial" w:cs="Arial"/>
          <w:sz w:val="24"/>
          <w:szCs w:val="24"/>
        </w:rPr>
        <w:t xml:space="preserve"> Med Biol Eng Comput, 1998. </w:t>
      </w:r>
      <w:r w:rsidRPr="004B75B8">
        <w:rPr>
          <w:rFonts w:ascii="Arial" w:hAnsi="Arial" w:cs="Arial"/>
          <w:b/>
          <w:sz w:val="24"/>
          <w:szCs w:val="24"/>
        </w:rPr>
        <w:t>36</w:t>
      </w:r>
      <w:r w:rsidRPr="004B75B8">
        <w:rPr>
          <w:rFonts w:ascii="Arial" w:hAnsi="Arial" w:cs="Arial"/>
          <w:sz w:val="24"/>
          <w:szCs w:val="24"/>
        </w:rPr>
        <w:t>(3): p. 315-22.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279.</w:t>
      </w:r>
      <w:r w:rsidRPr="004B75B8">
        <w:rPr>
          <w:rFonts w:ascii="Arial" w:hAnsi="Arial" w:cs="Arial"/>
          <w:sz w:val="24"/>
          <w:szCs w:val="24"/>
        </w:rPr>
        <w:tab/>
        <w:t xml:space="preserve">Aaslid, R., et al., </w:t>
      </w:r>
      <w:r w:rsidRPr="004B75B8">
        <w:rPr>
          <w:rFonts w:ascii="Arial" w:hAnsi="Arial" w:cs="Arial"/>
          <w:i/>
          <w:sz w:val="24"/>
          <w:szCs w:val="24"/>
        </w:rPr>
        <w:t>Cerebral autoregulation dynamics in humans.</w:t>
      </w:r>
      <w:r w:rsidRPr="004B75B8">
        <w:rPr>
          <w:rFonts w:ascii="Arial" w:hAnsi="Arial" w:cs="Arial"/>
          <w:sz w:val="24"/>
          <w:szCs w:val="24"/>
        </w:rPr>
        <w:t xml:space="preserve"> Stroke, 1989. </w:t>
      </w:r>
      <w:r w:rsidRPr="004B75B8">
        <w:rPr>
          <w:rFonts w:ascii="Arial" w:hAnsi="Arial" w:cs="Arial"/>
          <w:b/>
          <w:sz w:val="24"/>
          <w:szCs w:val="24"/>
        </w:rPr>
        <w:t>20</w:t>
      </w:r>
      <w:r w:rsidRPr="004B75B8">
        <w:rPr>
          <w:rFonts w:ascii="Arial" w:hAnsi="Arial" w:cs="Arial"/>
          <w:sz w:val="24"/>
          <w:szCs w:val="24"/>
        </w:rPr>
        <w:t>(1): p. 45-52.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280.</w:t>
      </w:r>
      <w:r w:rsidRPr="004B75B8">
        <w:rPr>
          <w:rFonts w:ascii="Arial" w:hAnsi="Arial" w:cs="Arial"/>
          <w:sz w:val="24"/>
          <w:szCs w:val="24"/>
        </w:rPr>
        <w:tab/>
        <w:t xml:space="preserve">Sorond, F.A., et al., </w:t>
      </w:r>
      <w:r w:rsidRPr="004B75B8">
        <w:rPr>
          <w:rFonts w:ascii="Arial" w:hAnsi="Arial" w:cs="Arial"/>
          <w:i/>
          <w:sz w:val="24"/>
          <w:szCs w:val="24"/>
        </w:rPr>
        <w:t>Neurovascular coupling is impaired in slow walkers: the MOBILIZE Boston Study.</w:t>
      </w:r>
      <w:r w:rsidRPr="004B75B8">
        <w:rPr>
          <w:rFonts w:ascii="Arial" w:hAnsi="Arial" w:cs="Arial"/>
          <w:sz w:val="24"/>
          <w:szCs w:val="24"/>
        </w:rPr>
        <w:t xml:space="preserve"> Ann Neurol, 2011. </w:t>
      </w:r>
      <w:r w:rsidRPr="004B75B8">
        <w:rPr>
          <w:rFonts w:ascii="Arial" w:hAnsi="Arial" w:cs="Arial"/>
          <w:b/>
          <w:sz w:val="24"/>
          <w:szCs w:val="24"/>
        </w:rPr>
        <w:t>70</w:t>
      </w:r>
      <w:r w:rsidRPr="004B75B8">
        <w:rPr>
          <w:rFonts w:ascii="Arial" w:hAnsi="Arial" w:cs="Arial"/>
          <w:sz w:val="24"/>
          <w:szCs w:val="24"/>
        </w:rPr>
        <w:t>(2): p. 213-20.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281.</w:t>
      </w:r>
      <w:r w:rsidRPr="004B75B8">
        <w:rPr>
          <w:rFonts w:ascii="Arial" w:hAnsi="Arial" w:cs="Arial"/>
          <w:sz w:val="24"/>
          <w:szCs w:val="24"/>
        </w:rPr>
        <w:tab/>
        <w:t xml:space="preserve">Sorond, F.A., et al., </w:t>
      </w:r>
      <w:r w:rsidRPr="004B75B8">
        <w:rPr>
          <w:rFonts w:ascii="Arial" w:hAnsi="Arial" w:cs="Arial"/>
          <w:i/>
          <w:sz w:val="24"/>
          <w:szCs w:val="24"/>
        </w:rPr>
        <w:t>Cerebral blood flow regulation during cognitive tasks: effects of healthy aging.</w:t>
      </w:r>
      <w:r w:rsidRPr="004B75B8">
        <w:rPr>
          <w:rFonts w:ascii="Arial" w:hAnsi="Arial" w:cs="Arial"/>
          <w:sz w:val="24"/>
          <w:szCs w:val="24"/>
        </w:rPr>
        <w:t xml:space="preserve"> Cortex, 2008. </w:t>
      </w:r>
      <w:r w:rsidRPr="004B75B8">
        <w:rPr>
          <w:rFonts w:ascii="Arial" w:hAnsi="Arial" w:cs="Arial"/>
          <w:b/>
          <w:sz w:val="24"/>
          <w:szCs w:val="24"/>
        </w:rPr>
        <w:t>44</w:t>
      </w:r>
      <w:r w:rsidRPr="004B75B8">
        <w:rPr>
          <w:rFonts w:ascii="Arial" w:hAnsi="Arial" w:cs="Arial"/>
          <w:sz w:val="24"/>
          <w:szCs w:val="24"/>
        </w:rPr>
        <w:t>(2): p. 179-84.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282.</w:t>
      </w:r>
      <w:r w:rsidRPr="004B75B8">
        <w:rPr>
          <w:rFonts w:ascii="Arial" w:hAnsi="Arial" w:cs="Arial"/>
          <w:sz w:val="24"/>
          <w:szCs w:val="24"/>
        </w:rPr>
        <w:tab/>
        <w:t xml:space="preserve">Mandell, D.M., et al., </w:t>
      </w:r>
      <w:r w:rsidRPr="004B75B8">
        <w:rPr>
          <w:rFonts w:ascii="Arial" w:hAnsi="Arial" w:cs="Arial"/>
          <w:i/>
          <w:sz w:val="24"/>
          <w:szCs w:val="24"/>
        </w:rPr>
        <w:t>Selective reduction of blood flow to white matter during hypercapnia corresponds with leukoaraiosis.</w:t>
      </w:r>
      <w:r w:rsidRPr="004B75B8">
        <w:rPr>
          <w:rFonts w:ascii="Arial" w:hAnsi="Arial" w:cs="Arial"/>
          <w:sz w:val="24"/>
          <w:szCs w:val="24"/>
        </w:rPr>
        <w:t xml:space="preserve"> Stroke, 2008. </w:t>
      </w:r>
      <w:r w:rsidRPr="004B75B8">
        <w:rPr>
          <w:rFonts w:ascii="Arial" w:hAnsi="Arial" w:cs="Arial"/>
          <w:b/>
          <w:sz w:val="24"/>
          <w:szCs w:val="24"/>
        </w:rPr>
        <w:t>39</w:t>
      </w:r>
      <w:r w:rsidRPr="004B75B8">
        <w:rPr>
          <w:rFonts w:ascii="Arial" w:hAnsi="Arial" w:cs="Arial"/>
          <w:sz w:val="24"/>
          <w:szCs w:val="24"/>
        </w:rPr>
        <w:t>(7): p. 1993-8.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283.</w:t>
      </w:r>
      <w:r w:rsidRPr="004B75B8">
        <w:rPr>
          <w:rFonts w:ascii="Arial" w:hAnsi="Arial" w:cs="Arial"/>
          <w:sz w:val="24"/>
          <w:szCs w:val="24"/>
        </w:rPr>
        <w:tab/>
        <w:t xml:space="preserve">Noth, U., et al., </w:t>
      </w:r>
      <w:r w:rsidRPr="004B75B8">
        <w:rPr>
          <w:rFonts w:ascii="Arial" w:hAnsi="Arial" w:cs="Arial"/>
          <w:i/>
          <w:sz w:val="24"/>
          <w:szCs w:val="24"/>
        </w:rPr>
        <w:t>Mapping of the cerebral vascular response to hypoxia and hypercapnia using quantitative perfusion MRI at 3 T.</w:t>
      </w:r>
      <w:r w:rsidRPr="004B75B8">
        <w:rPr>
          <w:rFonts w:ascii="Arial" w:hAnsi="Arial" w:cs="Arial"/>
          <w:sz w:val="24"/>
          <w:szCs w:val="24"/>
        </w:rPr>
        <w:t xml:space="preserve"> NMR Biomed, 2008. </w:t>
      </w:r>
      <w:r w:rsidRPr="004B75B8">
        <w:rPr>
          <w:rFonts w:ascii="Arial" w:hAnsi="Arial" w:cs="Arial"/>
          <w:b/>
          <w:sz w:val="24"/>
          <w:szCs w:val="24"/>
        </w:rPr>
        <w:t>21</w:t>
      </w:r>
      <w:r w:rsidRPr="004B75B8">
        <w:rPr>
          <w:rFonts w:ascii="Arial" w:hAnsi="Arial" w:cs="Arial"/>
          <w:sz w:val="24"/>
          <w:szCs w:val="24"/>
        </w:rPr>
        <w:t>(5): p. 464-72.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284.</w:t>
      </w:r>
      <w:r w:rsidRPr="004B75B8">
        <w:rPr>
          <w:rFonts w:ascii="Arial" w:hAnsi="Arial" w:cs="Arial"/>
          <w:sz w:val="24"/>
          <w:szCs w:val="24"/>
        </w:rPr>
        <w:tab/>
        <w:t xml:space="preserve">Piechnik, S.K., P.A. Chiarelli, and P. Jezzard, </w:t>
      </w:r>
      <w:r w:rsidRPr="004B75B8">
        <w:rPr>
          <w:rFonts w:ascii="Arial" w:hAnsi="Arial" w:cs="Arial"/>
          <w:i/>
          <w:sz w:val="24"/>
          <w:szCs w:val="24"/>
        </w:rPr>
        <w:t>Modelling vascular reactivity to investigate the basis of the relationship between cerebral blood volume and flow under CO2 manipulation.</w:t>
      </w:r>
      <w:r w:rsidRPr="004B75B8">
        <w:rPr>
          <w:rFonts w:ascii="Arial" w:hAnsi="Arial" w:cs="Arial"/>
          <w:sz w:val="24"/>
          <w:szCs w:val="24"/>
        </w:rPr>
        <w:t xml:space="preserve"> Neuroimage, 2008. </w:t>
      </w:r>
      <w:r w:rsidRPr="004B75B8">
        <w:rPr>
          <w:rFonts w:ascii="Arial" w:hAnsi="Arial" w:cs="Arial"/>
          <w:b/>
          <w:sz w:val="24"/>
          <w:szCs w:val="24"/>
        </w:rPr>
        <w:t>39</w:t>
      </w:r>
      <w:r w:rsidRPr="004B75B8">
        <w:rPr>
          <w:rFonts w:ascii="Arial" w:hAnsi="Arial" w:cs="Arial"/>
          <w:sz w:val="24"/>
          <w:szCs w:val="24"/>
        </w:rPr>
        <w:t>(1): p. 107-18.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285.</w:t>
      </w:r>
      <w:r w:rsidRPr="004B75B8">
        <w:rPr>
          <w:rFonts w:ascii="Arial" w:hAnsi="Arial" w:cs="Arial"/>
          <w:sz w:val="24"/>
          <w:szCs w:val="24"/>
        </w:rPr>
        <w:tab/>
        <w:t xml:space="preserve">Stefani, A., et al., </w:t>
      </w:r>
      <w:r w:rsidRPr="004B75B8">
        <w:rPr>
          <w:rFonts w:ascii="Arial" w:hAnsi="Arial" w:cs="Arial"/>
          <w:i/>
          <w:sz w:val="24"/>
          <w:szCs w:val="24"/>
        </w:rPr>
        <w:t>CSF biomarkers, impairment of cerebral hemodynamics and degree of cognitive decline in Alzheimer's and mixed dementia.</w:t>
      </w:r>
      <w:r w:rsidRPr="004B75B8">
        <w:rPr>
          <w:rFonts w:ascii="Arial" w:hAnsi="Arial" w:cs="Arial"/>
          <w:sz w:val="24"/>
          <w:szCs w:val="24"/>
        </w:rPr>
        <w:t xml:space="preserve"> J Neurol Sci, 2009. </w:t>
      </w:r>
      <w:r w:rsidRPr="004B75B8">
        <w:rPr>
          <w:rFonts w:ascii="Arial" w:hAnsi="Arial" w:cs="Arial"/>
          <w:b/>
          <w:sz w:val="24"/>
          <w:szCs w:val="24"/>
        </w:rPr>
        <w:t>283</w:t>
      </w:r>
      <w:r w:rsidRPr="004B75B8">
        <w:rPr>
          <w:rFonts w:ascii="Arial" w:hAnsi="Arial" w:cs="Arial"/>
          <w:sz w:val="24"/>
          <w:szCs w:val="24"/>
        </w:rPr>
        <w:t>(1-2): p. 109-15.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286.</w:t>
      </w:r>
      <w:r w:rsidRPr="004B75B8">
        <w:rPr>
          <w:rFonts w:ascii="Arial" w:hAnsi="Arial" w:cs="Arial"/>
          <w:sz w:val="24"/>
          <w:szCs w:val="24"/>
        </w:rPr>
        <w:tab/>
        <w:t xml:space="preserve">van Beek, A.H., et al., </w:t>
      </w:r>
      <w:r w:rsidRPr="004B75B8">
        <w:rPr>
          <w:rFonts w:ascii="Arial" w:hAnsi="Arial" w:cs="Arial"/>
          <w:i/>
          <w:sz w:val="24"/>
          <w:szCs w:val="24"/>
        </w:rPr>
        <w:t>Oscillations in cerebral blood flow and cortical oxygenation in Alzheimer's disease.</w:t>
      </w:r>
      <w:r w:rsidRPr="004B75B8">
        <w:rPr>
          <w:rFonts w:ascii="Arial" w:hAnsi="Arial" w:cs="Arial"/>
          <w:sz w:val="24"/>
          <w:szCs w:val="24"/>
        </w:rPr>
        <w:t xml:space="preserve"> Neurobiol Aging, 2012. </w:t>
      </w:r>
      <w:r w:rsidRPr="004B75B8">
        <w:rPr>
          <w:rFonts w:ascii="Arial" w:hAnsi="Arial" w:cs="Arial"/>
          <w:b/>
          <w:sz w:val="24"/>
          <w:szCs w:val="24"/>
        </w:rPr>
        <w:t>33</w:t>
      </w:r>
      <w:r w:rsidRPr="004B75B8">
        <w:rPr>
          <w:rFonts w:ascii="Arial" w:hAnsi="Arial" w:cs="Arial"/>
          <w:sz w:val="24"/>
          <w:szCs w:val="24"/>
        </w:rPr>
        <w:t>(2): p. 428 e21-31.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287.</w:t>
      </w:r>
      <w:r w:rsidRPr="004B75B8">
        <w:rPr>
          <w:rFonts w:ascii="Arial" w:hAnsi="Arial" w:cs="Arial"/>
          <w:sz w:val="24"/>
          <w:szCs w:val="24"/>
        </w:rPr>
        <w:tab/>
        <w:t xml:space="preserve">Azevedo, E., et al., </w:t>
      </w:r>
      <w:r w:rsidRPr="004B75B8">
        <w:rPr>
          <w:rFonts w:ascii="Arial" w:hAnsi="Arial" w:cs="Arial"/>
          <w:i/>
          <w:sz w:val="24"/>
          <w:szCs w:val="24"/>
        </w:rPr>
        <w:t>Deep brain stimulation does not change neurovascular coupling in non-motor visual cortex: an autonomic and visual evoked blood flow velocity response study.</w:t>
      </w:r>
      <w:r w:rsidRPr="004B75B8">
        <w:rPr>
          <w:rFonts w:ascii="Arial" w:hAnsi="Arial" w:cs="Arial"/>
          <w:sz w:val="24"/>
          <w:szCs w:val="24"/>
        </w:rPr>
        <w:t xml:space="preserve"> Parkinsonism Relat Disord, 2010. </w:t>
      </w:r>
      <w:r w:rsidRPr="004B75B8">
        <w:rPr>
          <w:rFonts w:ascii="Arial" w:hAnsi="Arial" w:cs="Arial"/>
          <w:b/>
          <w:sz w:val="24"/>
          <w:szCs w:val="24"/>
        </w:rPr>
        <w:t>16</w:t>
      </w:r>
      <w:r w:rsidRPr="004B75B8">
        <w:rPr>
          <w:rFonts w:ascii="Arial" w:hAnsi="Arial" w:cs="Arial"/>
          <w:sz w:val="24"/>
          <w:szCs w:val="24"/>
        </w:rPr>
        <w:t>(9): p. 600-3.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288.</w:t>
      </w:r>
      <w:r w:rsidRPr="004B75B8">
        <w:rPr>
          <w:rFonts w:ascii="Arial" w:hAnsi="Arial" w:cs="Arial"/>
          <w:sz w:val="24"/>
          <w:szCs w:val="24"/>
        </w:rPr>
        <w:tab/>
        <w:t xml:space="preserve">Santos, G.A., et al., </w:t>
      </w:r>
      <w:r w:rsidRPr="004B75B8">
        <w:rPr>
          <w:rFonts w:ascii="Arial" w:hAnsi="Arial" w:cs="Arial"/>
          <w:i/>
          <w:sz w:val="24"/>
          <w:szCs w:val="24"/>
        </w:rPr>
        <w:t>Pathophysiologic differences in cerebral autoregulation after subarachnoid hemorrhage.</w:t>
      </w:r>
      <w:r w:rsidRPr="004B75B8">
        <w:rPr>
          <w:rFonts w:ascii="Arial" w:hAnsi="Arial" w:cs="Arial"/>
          <w:sz w:val="24"/>
          <w:szCs w:val="24"/>
        </w:rPr>
        <w:t xml:space="preserve"> Neurology, 2016. </w:t>
      </w:r>
      <w:r w:rsidRPr="004B75B8">
        <w:rPr>
          <w:rFonts w:ascii="Arial" w:hAnsi="Arial" w:cs="Arial"/>
          <w:b/>
          <w:sz w:val="24"/>
          <w:szCs w:val="24"/>
        </w:rPr>
        <w:t>86</w:t>
      </w:r>
      <w:r w:rsidRPr="004B75B8">
        <w:rPr>
          <w:rFonts w:ascii="Arial" w:hAnsi="Arial" w:cs="Arial"/>
          <w:sz w:val="24"/>
          <w:szCs w:val="24"/>
        </w:rPr>
        <w:t>(21): p. 1950-6.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289.</w:t>
      </w:r>
      <w:r w:rsidRPr="004B75B8">
        <w:rPr>
          <w:rFonts w:ascii="Arial" w:hAnsi="Arial" w:cs="Arial"/>
          <w:sz w:val="24"/>
          <w:szCs w:val="24"/>
        </w:rPr>
        <w:tab/>
        <w:t xml:space="preserve">Czosnyka, M., et al., </w:t>
      </w:r>
      <w:r w:rsidRPr="004B75B8">
        <w:rPr>
          <w:rFonts w:ascii="Arial" w:hAnsi="Arial" w:cs="Arial"/>
          <w:i/>
          <w:sz w:val="24"/>
          <w:szCs w:val="24"/>
        </w:rPr>
        <w:t>Age, intracranial pressure, autoregulation, and outcome after brain trauma.</w:t>
      </w:r>
      <w:r w:rsidRPr="004B75B8">
        <w:rPr>
          <w:rFonts w:ascii="Arial" w:hAnsi="Arial" w:cs="Arial"/>
          <w:sz w:val="24"/>
          <w:szCs w:val="24"/>
        </w:rPr>
        <w:t xml:space="preserve"> J Neurosurg, 2005. </w:t>
      </w:r>
      <w:r w:rsidRPr="004B75B8">
        <w:rPr>
          <w:rFonts w:ascii="Arial" w:hAnsi="Arial" w:cs="Arial"/>
          <w:b/>
          <w:sz w:val="24"/>
          <w:szCs w:val="24"/>
        </w:rPr>
        <w:t>102</w:t>
      </w:r>
      <w:r w:rsidRPr="004B75B8">
        <w:rPr>
          <w:rFonts w:ascii="Arial" w:hAnsi="Arial" w:cs="Arial"/>
          <w:sz w:val="24"/>
          <w:szCs w:val="24"/>
        </w:rPr>
        <w:t>(3): p. 450-4.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290.</w:t>
      </w:r>
      <w:r w:rsidRPr="004B75B8">
        <w:rPr>
          <w:rFonts w:ascii="Arial" w:hAnsi="Arial" w:cs="Arial"/>
          <w:sz w:val="24"/>
          <w:szCs w:val="24"/>
        </w:rPr>
        <w:tab/>
        <w:t xml:space="preserve">Marshall, R.S., et al., </w:t>
      </w:r>
      <w:r w:rsidRPr="004B75B8">
        <w:rPr>
          <w:rFonts w:ascii="Arial" w:hAnsi="Arial" w:cs="Arial"/>
          <w:i/>
          <w:sz w:val="24"/>
          <w:szCs w:val="24"/>
        </w:rPr>
        <w:t>Monitoring of cerebral vasodilatory capacity with transcranial Doppler carbon dioxide inhalation in patients with severe carotid artery disease.</w:t>
      </w:r>
      <w:r w:rsidRPr="004B75B8">
        <w:rPr>
          <w:rFonts w:ascii="Arial" w:hAnsi="Arial" w:cs="Arial"/>
          <w:sz w:val="24"/>
          <w:szCs w:val="24"/>
        </w:rPr>
        <w:t xml:space="preserve"> Stroke, 2003. </w:t>
      </w:r>
      <w:r w:rsidRPr="004B75B8">
        <w:rPr>
          <w:rFonts w:ascii="Arial" w:hAnsi="Arial" w:cs="Arial"/>
          <w:b/>
          <w:sz w:val="24"/>
          <w:szCs w:val="24"/>
        </w:rPr>
        <w:t>34</w:t>
      </w:r>
      <w:r w:rsidRPr="004B75B8">
        <w:rPr>
          <w:rFonts w:ascii="Arial" w:hAnsi="Arial" w:cs="Arial"/>
          <w:sz w:val="24"/>
          <w:szCs w:val="24"/>
        </w:rPr>
        <w:t>(4): p. 945-9.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291.</w:t>
      </w:r>
      <w:r w:rsidRPr="004B75B8">
        <w:rPr>
          <w:rFonts w:ascii="Arial" w:hAnsi="Arial" w:cs="Arial"/>
          <w:sz w:val="24"/>
          <w:szCs w:val="24"/>
        </w:rPr>
        <w:tab/>
        <w:t xml:space="preserve">Dawson, S.L., et al., </w:t>
      </w:r>
      <w:r w:rsidRPr="004B75B8">
        <w:rPr>
          <w:rFonts w:ascii="Arial" w:hAnsi="Arial" w:cs="Arial"/>
          <w:i/>
          <w:sz w:val="24"/>
          <w:szCs w:val="24"/>
        </w:rPr>
        <w:t>Dynamic but not static cerebral autoregulation is impaired in acute ischaemic stroke.</w:t>
      </w:r>
      <w:r w:rsidRPr="004B75B8">
        <w:rPr>
          <w:rFonts w:ascii="Arial" w:hAnsi="Arial" w:cs="Arial"/>
          <w:sz w:val="24"/>
          <w:szCs w:val="24"/>
        </w:rPr>
        <w:t xml:space="preserve"> Cerebrovasc Dis, 2000. </w:t>
      </w:r>
      <w:r w:rsidRPr="004B75B8">
        <w:rPr>
          <w:rFonts w:ascii="Arial" w:hAnsi="Arial" w:cs="Arial"/>
          <w:b/>
          <w:sz w:val="24"/>
          <w:szCs w:val="24"/>
        </w:rPr>
        <w:t>10</w:t>
      </w:r>
      <w:r w:rsidRPr="004B75B8">
        <w:rPr>
          <w:rFonts w:ascii="Arial" w:hAnsi="Arial" w:cs="Arial"/>
          <w:sz w:val="24"/>
          <w:szCs w:val="24"/>
        </w:rPr>
        <w:t>(2): p. 126-32.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292.</w:t>
      </w:r>
      <w:r w:rsidRPr="004B75B8">
        <w:rPr>
          <w:rFonts w:ascii="Arial" w:hAnsi="Arial" w:cs="Arial"/>
          <w:sz w:val="24"/>
          <w:szCs w:val="24"/>
        </w:rPr>
        <w:tab/>
        <w:t xml:space="preserve">Topcuoglu, M.A., et al., </w:t>
      </w:r>
      <w:r w:rsidRPr="004B75B8">
        <w:rPr>
          <w:rFonts w:ascii="Arial" w:hAnsi="Arial" w:cs="Arial"/>
          <w:i/>
          <w:sz w:val="24"/>
          <w:szCs w:val="24"/>
        </w:rPr>
        <w:t>Cerebral vasomotor reactivity in reversible cerebral vasoconstriction syndrome.</w:t>
      </w:r>
      <w:r w:rsidRPr="004B75B8">
        <w:rPr>
          <w:rFonts w:ascii="Arial" w:hAnsi="Arial" w:cs="Arial"/>
          <w:sz w:val="24"/>
          <w:szCs w:val="24"/>
        </w:rPr>
        <w:t xml:space="preserve"> Cephalalgia, 2017. </w:t>
      </w:r>
      <w:r w:rsidRPr="004B75B8">
        <w:rPr>
          <w:rFonts w:ascii="Arial" w:hAnsi="Arial" w:cs="Arial"/>
          <w:b/>
          <w:sz w:val="24"/>
          <w:szCs w:val="24"/>
        </w:rPr>
        <w:t>37</w:t>
      </w:r>
      <w:r w:rsidRPr="004B75B8">
        <w:rPr>
          <w:rFonts w:ascii="Arial" w:hAnsi="Arial" w:cs="Arial"/>
          <w:sz w:val="24"/>
          <w:szCs w:val="24"/>
        </w:rPr>
        <w:t>(6): p. 541-547.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293.</w:t>
      </w:r>
      <w:r w:rsidRPr="004B75B8">
        <w:rPr>
          <w:rFonts w:ascii="Arial" w:hAnsi="Arial" w:cs="Arial"/>
          <w:sz w:val="24"/>
          <w:szCs w:val="24"/>
        </w:rPr>
        <w:tab/>
        <w:t xml:space="preserve">Azevedo, E., et al., </w:t>
      </w:r>
      <w:r w:rsidRPr="004B75B8">
        <w:rPr>
          <w:rFonts w:ascii="Arial" w:hAnsi="Arial" w:cs="Arial"/>
          <w:i/>
          <w:sz w:val="24"/>
          <w:szCs w:val="24"/>
        </w:rPr>
        <w:t>Functional transcranial Doppler: presymptomatic changes in Fabry disease.</w:t>
      </w:r>
      <w:r w:rsidRPr="004B75B8">
        <w:rPr>
          <w:rFonts w:ascii="Arial" w:hAnsi="Arial" w:cs="Arial"/>
          <w:sz w:val="24"/>
          <w:szCs w:val="24"/>
        </w:rPr>
        <w:t xml:space="preserve"> Eur Neurol, 2012. </w:t>
      </w:r>
      <w:r w:rsidRPr="004B75B8">
        <w:rPr>
          <w:rFonts w:ascii="Arial" w:hAnsi="Arial" w:cs="Arial"/>
          <w:b/>
          <w:sz w:val="24"/>
          <w:szCs w:val="24"/>
        </w:rPr>
        <w:t>67</w:t>
      </w:r>
      <w:r w:rsidRPr="004B75B8">
        <w:rPr>
          <w:rFonts w:ascii="Arial" w:hAnsi="Arial" w:cs="Arial"/>
          <w:sz w:val="24"/>
          <w:szCs w:val="24"/>
        </w:rPr>
        <w:t>(6): p. 331-7.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294.</w:t>
      </w:r>
      <w:r w:rsidRPr="004B75B8">
        <w:rPr>
          <w:rFonts w:ascii="Arial" w:hAnsi="Arial" w:cs="Arial"/>
          <w:sz w:val="24"/>
          <w:szCs w:val="24"/>
        </w:rPr>
        <w:tab/>
        <w:t xml:space="preserve">Azevedo, E., et al., </w:t>
      </w:r>
      <w:r w:rsidRPr="004B75B8">
        <w:rPr>
          <w:rFonts w:ascii="Arial" w:hAnsi="Arial" w:cs="Arial"/>
          <w:i/>
          <w:sz w:val="24"/>
          <w:szCs w:val="24"/>
        </w:rPr>
        <w:t>Autonomic dysfunction affects cerebral neurovascular coupling.</w:t>
      </w:r>
      <w:r w:rsidRPr="004B75B8">
        <w:rPr>
          <w:rFonts w:ascii="Arial" w:hAnsi="Arial" w:cs="Arial"/>
          <w:sz w:val="24"/>
          <w:szCs w:val="24"/>
        </w:rPr>
        <w:t xml:space="preserve"> Clin Auton Res, 2011. </w:t>
      </w:r>
      <w:r w:rsidRPr="004B75B8">
        <w:rPr>
          <w:rFonts w:ascii="Arial" w:hAnsi="Arial" w:cs="Arial"/>
          <w:b/>
          <w:sz w:val="24"/>
          <w:szCs w:val="24"/>
        </w:rPr>
        <w:t>21</w:t>
      </w:r>
      <w:r w:rsidRPr="004B75B8">
        <w:rPr>
          <w:rFonts w:ascii="Arial" w:hAnsi="Arial" w:cs="Arial"/>
          <w:sz w:val="24"/>
          <w:szCs w:val="24"/>
        </w:rPr>
        <w:t>(6): p. 395-403.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295.</w:t>
      </w:r>
      <w:r w:rsidRPr="004B75B8">
        <w:rPr>
          <w:rFonts w:ascii="Arial" w:hAnsi="Arial" w:cs="Arial"/>
          <w:sz w:val="24"/>
          <w:szCs w:val="24"/>
        </w:rPr>
        <w:tab/>
        <w:t xml:space="preserve">Liboni, W., et al., </w:t>
      </w:r>
      <w:r w:rsidRPr="004B75B8">
        <w:rPr>
          <w:rFonts w:ascii="Arial" w:hAnsi="Arial" w:cs="Arial"/>
          <w:i/>
          <w:sz w:val="24"/>
          <w:szCs w:val="24"/>
        </w:rPr>
        <w:t>Why do we need NIRS in migraine?</w:t>
      </w:r>
      <w:r w:rsidRPr="004B75B8">
        <w:rPr>
          <w:rFonts w:ascii="Arial" w:hAnsi="Arial" w:cs="Arial"/>
          <w:sz w:val="24"/>
          <w:szCs w:val="24"/>
        </w:rPr>
        <w:t xml:space="preserve"> Neurol Sci, 2007. </w:t>
      </w:r>
      <w:r w:rsidRPr="004B75B8">
        <w:rPr>
          <w:rFonts w:ascii="Arial" w:hAnsi="Arial" w:cs="Arial"/>
          <w:b/>
          <w:sz w:val="24"/>
          <w:szCs w:val="24"/>
        </w:rPr>
        <w:t>28 Suppl 2</w:t>
      </w:r>
      <w:r w:rsidRPr="004B75B8">
        <w:rPr>
          <w:rFonts w:ascii="Arial" w:hAnsi="Arial" w:cs="Arial"/>
          <w:sz w:val="24"/>
          <w:szCs w:val="24"/>
        </w:rPr>
        <w:t>: p. S222-4.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296.</w:t>
      </w:r>
      <w:r w:rsidRPr="004B75B8">
        <w:rPr>
          <w:rFonts w:ascii="Arial" w:hAnsi="Arial" w:cs="Arial"/>
          <w:sz w:val="24"/>
          <w:szCs w:val="24"/>
        </w:rPr>
        <w:tab/>
        <w:t xml:space="preserve">Kastrup, A., et al., </w:t>
      </w:r>
      <w:r w:rsidRPr="004B75B8">
        <w:rPr>
          <w:rFonts w:ascii="Arial" w:hAnsi="Arial" w:cs="Arial"/>
          <w:i/>
          <w:sz w:val="24"/>
          <w:szCs w:val="24"/>
        </w:rPr>
        <w:t>Cerebral blood flow and CO2 reactivity in interictal migraineurs: a transcranial Doppler study.</w:t>
      </w:r>
      <w:r w:rsidRPr="004B75B8">
        <w:rPr>
          <w:rFonts w:ascii="Arial" w:hAnsi="Arial" w:cs="Arial"/>
          <w:sz w:val="24"/>
          <w:szCs w:val="24"/>
        </w:rPr>
        <w:t xml:space="preserve"> Headache, 1998. </w:t>
      </w:r>
      <w:r w:rsidRPr="004B75B8">
        <w:rPr>
          <w:rFonts w:ascii="Arial" w:hAnsi="Arial" w:cs="Arial"/>
          <w:b/>
          <w:sz w:val="24"/>
          <w:szCs w:val="24"/>
        </w:rPr>
        <w:t>38</w:t>
      </w:r>
      <w:r w:rsidRPr="004B75B8">
        <w:rPr>
          <w:rFonts w:ascii="Arial" w:hAnsi="Arial" w:cs="Arial"/>
          <w:sz w:val="24"/>
          <w:szCs w:val="24"/>
        </w:rPr>
        <w:t>(8): p. 608-13.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297.</w:t>
      </w:r>
      <w:r w:rsidRPr="004B75B8">
        <w:rPr>
          <w:rFonts w:ascii="Arial" w:hAnsi="Arial" w:cs="Arial"/>
          <w:sz w:val="24"/>
          <w:szCs w:val="24"/>
        </w:rPr>
        <w:tab/>
        <w:t xml:space="preserve">Silvestrini, M., et al., </w:t>
      </w:r>
      <w:r w:rsidRPr="004B75B8">
        <w:rPr>
          <w:rFonts w:ascii="Arial" w:hAnsi="Arial" w:cs="Arial"/>
          <w:i/>
          <w:sz w:val="24"/>
          <w:szCs w:val="24"/>
        </w:rPr>
        <w:t>Estimation of cerebrovascular reactivity in migraine without aura.</w:t>
      </w:r>
      <w:r w:rsidRPr="004B75B8">
        <w:rPr>
          <w:rFonts w:ascii="Arial" w:hAnsi="Arial" w:cs="Arial"/>
          <w:sz w:val="24"/>
          <w:szCs w:val="24"/>
        </w:rPr>
        <w:t xml:space="preserve"> Stroke, 1995. </w:t>
      </w:r>
      <w:r w:rsidRPr="004B75B8">
        <w:rPr>
          <w:rFonts w:ascii="Arial" w:hAnsi="Arial" w:cs="Arial"/>
          <w:b/>
          <w:sz w:val="24"/>
          <w:szCs w:val="24"/>
        </w:rPr>
        <w:t>26</w:t>
      </w:r>
      <w:r w:rsidRPr="004B75B8">
        <w:rPr>
          <w:rFonts w:ascii="Arial" w:hAnsi="Arial" w:cs="Arial"/>
          <w:sz w:val="24"/>
          <w:szCs w:val="24"/>
        </w:rPr>
        <w:t>(1): p. 81-3.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298.</w:t>
      </w:r>
      <w:r w:rsidRPr="004B75B8">
        <w:rPr>
          <w:rFonts w:ascii="Arial" w:hAnsi="Arial" w:cs="Arial"/>
          <w:sz w:val="24"/>
          <w:szCs w:val="24"/>
        </w:rPr>
        <w:tab/>
        <w:t xml:space="preserve">Dora, B. and S. Balkan, </w:t>
      </w:r>
      <w:r w:rsidRPr="004B75B8">
        <w:rPr>
          <w:rFonts w:ascii="Arial" w:hAnsi="Arial" w:cs="Arial"/>
          <w:i/>
          <w:sz w:val="24"/>
          <w:szCs w:val="24"/>
        </w:rPr>
        <w:t>Exaggerated interictal cerebrovascular reactivity but normal blood flow velocities in migraine without aura.</w:t>
      </w:r>
      <w:r w:rsidRPr="004B75B8">
        <w:rPr>
          <w:rFonts w:ascii="Arial" w:hAnsi="Arial" w:cs="Arial"/>
          <w:sz w:val="24"/>
          <w:szCs w:val="24"/>
        </w:rPr>
        <w:t xml:space="preserve"> Cephalalgia, 2002. </w:t>
      </w:r>
      <w:r w:rsidRPr="004B75B8">
        <w:rPr>
          <w:rFonts w:ascii="Arial" w:hAnsi="Arial" w:cs="Arial"/>
          <w:b/>
          <w:sz w:val="24"/>
          <w:szCs w:val="24"/>
        </w:rPr>
        <w:t>22</w:t>
      </w:r>
      <w:r w:rsidRPr="004B75B8">
        <w:rPr>
          <w:rFonts w:ascii="Arial" w:hAnsi="Arial" w:cs="Arial"/>
          <w:sz w:val="24"/>
          <w:szCs w:val="24"/>
        </w:rPr>
        <w:t>(4): p. 288-90.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299.</w:t>
      </w:r>
      <w:r w:rsidRPr="004B75B8">
        <w:rPr>
          <w:rFonts w:ascii="Arial" w:hAnsi="Arial" w:cs="Arial"/>
          <w:sz w:val="24"/>
          <w:szCs w:val="24"/>
        </w:rPr>
        <w:tab/>
        <w:t xml:space="preserve">Reinhard, M., et al., </w:t>
      </w:r>
      <w:r w:rsidRPr="004B75B8">
        <w:rPr>
          <w:rFonts w:ascii="Arial" w:hAnsi="Arial" w:cs="Arial"/>
          <w:i/>
          <w:sz w:val="24"/>
          <w:szCs w:val="24"/>
        </w:rPr>
        <w:t>Preserved dynamic cerebral autoregulation in the middle cerebral artery among persons with migraine.</w:t>
      </w:r>
      <w:r w:rsidRPr="004B75B8">
        <w:rPr>
          <w:rFonts w:ascii="Arial" w:hAnsi="Arial" w:cs="Arial"/>
          <w:sz w:val="24"/>
          <w:szCs w:val="24"/>
        </w:rPr>
        <w:t xml:space="preserve"> Exp Brain Res, 2007. </w:t>
      </w:r>
      <w:r w:rsidRPr="004B75B8">
        <w:rPr>
          <w:rFonts w:ascii="Arial" w:hAnsi="Arial" w:cs="Arial"/>
          <w:b/>
          <w:sz w:val="24"/>
          <w:szCs w:val="24"/>
        </w:rPr>
        <w:t>180</w:t>
      </w:r>
      <w:r w:rsidRPr="004B75B8">
        <w:rPr>
          <w:rFonts w:ascii="Arial" w:hAnsi="Arial" w:cs="Arial"/>
          <w:sz w:val="24"/>
          <w:szCs w:val="24"/>
        </w:rPr>
        <w:t>(3): p. 517-23.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300.</w:t>
      </w:r>
      <w:r w:rsidRPr="004B75B8">
        <w:rPr>
          <w:rFonts w:ascii="Arial" w:hAnsi="Arial" w:cs="Arial"/>
          <w:sz w:val="24"/>
          <w:szCs w:val="24"/>
        </w:rPr>
        <w:tab/>
        <w:t xml:space="preserve">Chan, S.T., et al., </w:t>
      </w:r>
      <w:r w:rsidRPr="004B75B8">
        <w:rPr>
          <w:rFonts w:ascii="Arial" w:hAnsi="Arial" w:cs="Arial"/>
          <w:i/>
          <w:sz w:val="24"/>
          <w:szCs w:val="24"/>
        </w:rPr>
        <w:t>Transcranial Doppler study of cerebrovascular reactivity: are migraineurs more sensitive to breath-hold challenge?</w:t>
      </w:r>
      <w:r w:rsidRPr="004B75B8">
        <w:rPr>
          <w:rFonts w:ascii="Arial" w:hAnsi="Arial" w:cs="Arial"/>
          <w:sz w:val="24"/>
          <w:szCs w:val="24"/>
        </w:rPr>
        <w:t xml:space="preserve"> Brain Res, 2009. </w:t>
      </w:r>
      <w:r w:rsidRPr="004B75B8">
        <w:rPr>
          <w:rFonts w:ascii="Arial" w:hAnsi="Arial" w:cs="Arial"/>
          <w:b/>
          <w:sz w:val="24"/>
          <w:szCs w:val="24"/>
        </w:rPr>
        <w:t>1291</w:t>
      </w:r>
      <w:r w:rsidRPr="004B75B8">
        <w:rPr>
          <w:rFonts w:ascii="Arial" w:hAnsi="Arial" w:cs="Arial"/>
          <w:sz w:val="24"/>
          <w:szCs w:val="24"/>
        </w:rPr>
        <w:t>: p. 53-9.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301.</w:t>
      </w:r>
      <w:r w:rsidRPr="004B75B8">
        <w:rPr>
          <w:rFonts w:ascii="Arial" w:hAnsi="Arial" w:cs="Arial"/>
          <w:sz w:val="24"/>
          <w:szCs w:val="24"/>
        </w:rPr>
        <w:tab/>
        <w:t xml:space="preserve">Akgun, H., et al., </w:t>
      </w:r>
      <w:r w:rsidRPr="004B75B8">
        <w:rPr>
          <w:rFonts w:ascii="Arial" w:hAnsi="Arial" w:cs="Arial"/>
          <w:i/>
          <w:sz w:val="24"/>
          <w:szCs w:val="24"/>
        </w:rPr>
        <w:t>Reduced breath holding index in patients with chronic migraine.</w:t>
      </w:r>
      <w:r w:rsidRPr="004B75B8">
        <w:rPr>
          <w:rFonts w:ascii="Arial" w:hAnsi="Arial" w:cs="Arial"/>
          <w:sz w:val="24"/>
          <w:szCs w:val="24"/>
        </w:rPr>
        <w:t xml:space="preserve"> Acta Neurol Belg, 2015. </w:t>
      </w:r>
      <w:r w:rsidRPr="004B75B8">
        <w:rPr>
          <w:rFonts w:ascii="Arial" w:hAnsi="Arial" w:cs="Arial"/>
          <w:b/>
          <w:sz w:val="24"/>
          <w:szCs w:val="24"/>
        </w:rPr>
        <w:t>115</w:t>
      </w:r>
      <w:r w:rsidRPr="004B75B8">
        <w:rPr>
          <w:rFonts w:ascii="Arial" w:hAnsi="Arial" w:cs="Arial"/>
          <w:sz w:val="24"/>
          <w:szCs w:val="24"/>
        </w:rPr>
        <w:t>(3): p. 323-7.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302.</w:t>
      </w:r>
      <w:r w:rsidRPr="004B75B8">
        <w:rPr>
          <w:rFonts w:ascii="Arial" w:hAnsi="Arial" w:cs="Arial"/>
          <w:sz w:val="24"/>
          <w:szCs w:val="24"/>
        </w:rPr>
        <w:tab/>
        <w:t xml:space="preserve">Silvestrini, M., et al., </w:t>
      </w:r>
      <w:r w:rsidRPr="004B75B8">
        <w:rPr>
          <w:rFonts w:ascii="Arial" w:hAnsi="Arial" w:cs="Arial"/>
          <w:i/>
          <w:sz w:val="24"/>
          <w:szCs w:val="24"/>
        </w:rPr>
        <w:t>Cerebrovascular reactivity in migraine with and without aura.</w:t>
      </w:r>
      <w:r w:rsidRPr="004B75B8">
        <w:rPr>
          <w:rFonts w:ascii="Arial" w:hAnsi="Arial" w:cs="Arial"/>
          <w:sz w:val="24"/>
          <w:szCs w:val="24"/>
        </w:rPr>
        <w:t xml:space="preserve"> Headache, 1996. </w:t>
      </w:r>
      <w:r w:rsidRPr="004B75B8">
        <w:rPr>
          <w:rFonts w:ascii="Arial" w:hAnsi="Arial" w:cs="Arial"/>
          <w:b/>
          <w:sz w:val="24"/>
          <w:szCs w:val="24"/>
        </w:rPr>
        <w:t>36</w:t>
      </w:r>
      <w:r w:rsidRPr="004B75B8">
        <w:rPr>
          <w:rFonts w:ascii="Arial" w:hAnsi="Arial" w:cs="Arial"/>
          <w:sz w:val="24"/>
          <w:szCs w:val="24"/>
        </w:rPr>
        <w:t>(1): p. 37-40.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303.</w:t>
      </w:r>
      <w:r w:rsidRPr="004B75B8">
        <w:rPr>
          <w:rFonts w:ascii="Arial" w:hAnsi="Arial" w:cs="Arial"/>
          <w:sz w:val="24"/>
          <w:szCs w:val="24"/>
        </w:rPr>
        <w:tab/>
        <w:t xml:space="preserve">Silvestrini, M., et al., </w:t>
      </w:r>
      <w:r w:rsidRPr="004B75B8">
        <w:rPr>
          <w:rFonts w:ascii="Arial" w:hAnsi="Arial" w:cs="Arial"/>
          <w:i/>
          <w:sz w:val="24"/>
          <w:szCs w:val="24"/>
        </w:rPr>
        <w:t>Basilar and middle cerebral artery reactivity in patients with migraine.</w:t>
      </w:r>
      <w:r w:rsidRPr="004B75B8">
        <w:rPr>
          <w:rFonts w:ascii="Arial" w:hAnsi="Arial" w:cs="Arial"/>
          <w:sz w:val="24"/>
          <w:szCs w:val="24"/>
        </w:rPr>
        <w:t xml:space="preserve"> Headache, 2004. </w:t>
      </w:r>
      <w:r w:rsidRPr="004B75B8">
        <w:rPr>
          <w:rFonts w:ascii="Arial" w:hAnsi="Arial" w:cs="Arial"/>
          <w:b/>
          <w:sz w:val="24"/>
          <w:szCs w:val="24"/>
        </w:rPr>
        <w:t>44</w:t>
      </w:r>
      <w:r w:rsidRPr="004B75B8">
        <w:rPr>
          <w:rFonts w:ascii="Arial" w:hAnsi="Arial" w:cs="Arial"/>
          <w:sz w:val="24"/>
          <w:szCs w:val="24"/>
        </w:rPr>
        <w:t>(1): p. 29-34.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304.</w:t>
      </w:r>
      <w:r w:rsidRPr="004B75B8">
        <w:rPr>
          <w:rFonts w:ascii="Arial" w:hAnsi="Arial" w:cs="Arial"/>
          <w:sz w:val="24"/>
          <w:szCs w:val="24"/>
        </w:rPr>
        <w:tab/>
        <w:t xml:space="preserve">Vanmolkot, F.H., L.M. Van Bortel, and J.N. de Hoon, </w:t>
      </w:r>
      <w:r w:rsidRPr="004B75B8">
        <w:rPr>
          <w:rFonts w:ascii="Arial" w:hAnsi="Arial" w:cs="Arial"/>
          <w:i/>
          <w:sz w:val="24"/>
          <w:szCs w:val="24"/>
        </w:rPr>
        <w:t>Altered arterial function in migraine of recent onset.</w:t>
      </w:r>
      <w:r w:rsidRPr="004B75B8">
        <w:rPr>
          <w:rFonts w:ascii="Arial" w:hAnsi="Arial" w:cs="Arial"/>
          <w:sz w:val="24"/>
          <w:szCs w:val="24"/>
        </w:rPr>
        <w:t xml:space="preserve"> Neurology, 2007. </w:t>
      </w:r>
      <w:r w:rsidRPr="004B75B8">
        <w:rPr>
          <w:rFonts w:ascii="Arial" w:hAnsi="Arial" w:cs="Arial"/>
          <w:b/>
          <w:sz w:val="24"/>
          <w:szCs w:val="24"/>
        </w:rPr>
        <w:t>68</w:t>
      </w:r>
      <w:r w:rsidRPr="004B75B8">
        <w:rPr>
          <w:rFonts w:ascii="Arial" w:hAnsi="Arial" w:cs="Arial"/>
          <w:sz w:val="24"/>
          <w:szCs w:val="24"/>
        </w:rPr>
        <w:t>(19): p. 1563-70.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305.</w:t>
      </w:r>
      <w:r w:rsidRPr="004B75B8">
        <w:rPr>
          <w:rFonts w:ascii="Arial" w:hAnsi="Arial" w:cs="Arial"/>
          <w:sz w:val="24"/>
          <w:szCs w:val="24"/>
        </w:rPr>
        <w:tab/>
        <w:t xml:space="preserve">Ailani, J., </w:t>
      </w:r>
      <w:r w:rsidRPr="004B75B8">
        <w:rPr>
          <w:rFonts w:ascii="Arial" w:hAnsi="Arial" w:cs="Arial"/>
          <w:i/>
          <w:sz w:val="24"/>
          <w:szCs w:val="24"/>
        </w:rPr>
        <w:t>Migraine and patent foramen ovale.</w:t>
      </w:r>
      <w:r w:rsidRPr="004B75B8">
        <w:rPr>
          <w:rFonts w:ascii="Arial" w:hAnsi="Arial" w:cs="Arial"/>
          <w:sz w:val="24"/>
          <w:szCs w:val="24"/>
        </w:rPr>
        <w:t xml:space="preserve"> Curr Neurol Neurosci Rep, 2014. </w:t>
      </w:r>
      <w:r w:rsidRPr="004B75B8">
        <w:rPr>
          <w:rFonts w:ascii="Arial" w:hAnsi="Arial" w:cs="Arial"/>
          <w:b/>
          <w:sz w:val="24"/>
          <w:szCs w:val="24"/>
        </w:rPr>
        <w:t>14</w:t>
      </w:r>
      <w:r w:rsidRPr="004B75B8">
        <w:rPr>
          <w:rFonts w:ascii="Arial" w:hAnsi="Arial" w:cs="Arial"/>
          <w:sz w:val="24"/>
          <w:szCs w:val="24"/>
        </w:rPr>
        <w:t>(2): p. 426.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306.</w:t>
      </w:r>
      <w:r w:rsidRPr="004B75B8">
        <w:rPr>
          <w:rFonts w:ascii="Arial" w:hAnsi="Arial" w:cs="Arial"/>
          <w:sz w:val="24"/>
          <w:szCs w:val="24"/>
        </w:rPr>
        <w:tab/>
        <w:t xml:space="preserve">Mattle, H.P., et al., </w:t>
      </w:r>
      <w:r w:rsidRPr="004B75B8">
        <w:rPr>
          <w:rFonts w:ascii="Arial" w:hAnsi="Arial" w:cs="Arial"/>
          <w:i/>
          <w:sz w:val="24"/>
          <w:szCs w:val="24"/>
        </w:rPr>
        <w:t>Percutaneous closure of patent foramen ovale in migraine with aura, a randomized controlled trial.</w:t>
      </w:r>
      <w:r w:rsidRPr="004B75B8">
        <w:rPr>
          <w:rFonts w:ascii="Arial" w:hAnsi="Arial" w:cs="Arial"/>
          <w:sz w:val="24"/>
          <w:szCs w:val="24"/>
        </w:rPr>
        <w:t xml:space="preserve"> Eur Heart J, 2016. </w:t>
      </w:r>
      <w:r w:rsidRPr="004B75B8">
        <w:rPr>
          <w:rFonts w:ascii="Arial" w:hAnsi="Arial" w:cs="Arial"/>
          <w:b/>
          <w:sz w:val="24"/>
          <w:szCs w:val="24"/>
        </w:rPr>
        <w:t>37</w:t>
      </w:r>
      <w:r w:rsidRPr="004B75B8">
        <w:rPr>
          <w:rFonts w:ascii="Arial" w:hAnsi="Arial" w:cs="Arial"/>
          <w:sz w:val="24"/>
          <w:szCs w:val="24"/>
        </w:rPr>
        <w:t>(26): p. 2029-36.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307.</w:t>
      </w:r>
      <w:r w:rsidRPr="004B75B8">
        <w:rPr>
          <w:rFonts w:ascii="Arial" w:hAnsi="Arial" w:cs="Arial"/>
          <w:sz w:val="24"/>
          <w:szCs w:val="24"/>
        </w:rPr>
        <w:tab/>
        <w:t xml:space="preserve">Xing, Y.Q., et al., </w:t>
      </w:r>
      <w:r w:rsidRPr="004B75B8">
        <w:rPr>
          <w:rFonts w:ascii="Arial" w:hAnsi="Arial" w:cs="Arial"/>
          <w:i/>
          <w:sz w:val="24"/>
          <w:szCs w:val="24"/>
        </w:rPr>
        <w:t>Effectiveness and Safety of Transcatheter Patent Foramen Ovale Closure for Migraine (EASTFORM) Trial.</w:t>
      </w:r>
      <w:r w:rsidRPr="004B75B8">
        <w:rPr>
          <w:rFonts w:ascii="Arial" w:hAnsi="Arial" w:cs="Arial"/>
          <w:sz w:val="24"/>
          <w:szCs w:val="24"/>
        </w:rPr>
        <w:t xml:space="preserve"> Sci Rep, 2016. </w:t>
      </w:r>
      <w:r w:rsidRPr="004B75B8">
        <w:rPr>
          <w:rFonts w:ascii="Arial" w:hAnsi="Arial" w:cs="Arial"/>
          <w:b/>
          <w:sz w:val="24"/>
          <w:szCs w:val="24"/>
        </w:rPr>
        <w:t>6</w:t>
      </w:r>
      <w:r w:rsidRPr="004B75B8">
        <w:rPr>
          <w:rFonts w:ascii="Arial" w:hAnsi="Arial" w:cs="Arial"/>
          <w:sz w:val="24"/>
          <w:szCs w:val="24"/>
        </w:rPr>
        <w:t>: p. 39081.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308.</w:t>
      </w:r>
      <w:r w:rsidRPr="004B75B8">
        <w:rPr>
          <w:rFonts w:ascii="Arial" w:hAnsi="Arial" w:cs="Arial"/>
          <w:sz w:val="24"/>
          <w:szCs w:val="24"/>
        </w:rPr>
        <w:tab/>
        <w:t xml:space="preserve">Kanwar, S.M., et al., </w:t>
      </w:r>
      <w:r w:rsidRPr="004B75B8">
        <w:rPr>
          <w:rFonts w:ascii="Arial" w:hAnsi="Arial" w:cs="Arial"/>
          <w:i/>
          <w:sz w:val="24"/>
          <w:szCs w:val="24"/>
        </w:rPr>
        <w:t>Coincidental Impact of Transcatheter Patent Foramen Ovale Closure on Migraine with and without Aura - A Comprehensive Meta-Analysis.</w:t>
      </w:r>
      <w:r w:rsidRPr="004B75B8">
        <w:rPr>
          <w:rFonts w:ascii="Arial" w:hAnsi="Arial" w:cs="Arial"/>
          <w:sz w:val="24"/>
          <w:szCs w:val="24"/>
        </w:rPr>
        <w:t xml:space="preserve"> Clin Trials Regul Sci Cardiol, 2016. </w:t>
      </w:r>
      <w:r w:rsidRPr="004B75B8">
        <w:rPr>
          <w:rFonts w:ascii="Arial" w:hAnsi="Arial" w:cs="Arial"/>
          <w:b/>
          <w:sz w:val="24"/>
          <w:szCs w:val="24"/>
        </w:rPr>
        <w:t>15</w:t>
      </w:r>
      <w:r w:rsidRPr="004B75B8">
        <w:rPr>
          <w:rFonts w:ascii="Arial" w:hAnsi="Arial" w:cs="Arial"/>
          <w:sz w:val="24"/>
          <w:szCs w:val="24"/>
        </w:rPr>
        <w:t>: p. 7-13.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309.</w:t>
      </w:r>
      <w:r w:rsidRPr="004B75B8">
        <w:rPr>
          <w:rFonts w:ascii="Arial" w:hAnsi="Arial" w:cs="Arial"/>
          <w:sz w:val="24"/>
          <w:szCs w:val="24"/>
        </w:rPr>
        <w:tab/>
        <w:t xml:space="preserve">Dalkara, T., A. Nozari, and M.A. Moskowitz, </w:t>
      </w:r>
      <w:r w:rsidRPr="004B75B8">
        <w:rPr>
          <w:rFonts w:ascii="Arial" w:hAnsi="Arial" w:cs="Arial"/>
          <w:i/>
          <w:sz w:val="24"/>
          <w:szCs w:val="24"/>
        </w:rPr>
        <w:t>Migraine aura pathophysiology: the role of blood vessels and microembolisation.</w:t>
      </w:r>
      <w:r w:rsidRPr="004B75B8">
        <w:rPr>
          <w:rFonts w:ascii="Arial" w:hAnsi="Arial" w:cs="Arial"/>
          <w:sz w:val="24"/>
          <w:szCs w:val="24"/>
        </w:rPr>
        <w:t xml:space="preserve"> Lancet Neurol, 2010. </w:t>
      </w:r>
      <w:r w:rsidRPr="004B75B8">
        <w:rPr>
          <w:rFonts w:ascii="Arial" w:hAnsi="Arial" w:cs="Arial"/>
          <w:b/>
          <w:sz w:val="24"/>
          <w:szCs w:val="24"/>
        </w:rPr>
        <w:t>9</w:t>
      </w:r>
      <w:r w:rsidRPr="004B75B8">
        <w:rPr>
          <w:rFonts w:ascii="Arial" w:hAnsi="Arial" w:cs="Arial"/>
          <w:sz w:val="24"/>
          <w:szCs w:val="24"/>
        </w:rPr>
        <w:t>(3): p. 309-17.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310.</w:t>
      </w:r>
      <w:r w:rsidRPr="004B75B8">
        <w:rPr>
          <w:rFonts w:ascii="Arial" w:hAnsi="Arial" w:cs="Arial"/>
          <w:sz w:val="24"/>
          <w:szCs w:val="24"/>
        </w:rPr>
        <w:tab/>
        <w:t xml:space="preserve">Lopez, M.F., et al., </w:t>
      </w:r>
      <w:r w:rsidRPr="004B75B8">
        <w:rPr>
          <w:rFonts w:ascii="Arial" w:hAnsi="Arial" w:cs="Arial"/>
          <w:i/>
          <w:sz w:val="24"/>
          <w:szCs w:val="24"/>
        </w:rPr>
        <w:t>Heart-brain signaling in patent foramen ovale-related stroke: differential plasma proteomic expression patterns revealed with a 2-pass liquid chromatography-tandem mass spectrometry discovery workflow.</w:t>
      </w:r>
      <w:r w:rsidRPr="004B75B8">
        <w:rPr>
          <w:rFonts w:ascii="Arial" w:hAnsi="Arial" w:cs="Arial"/>
          <w:sz w:val="24"/>
          <w:szCs w:val="24"/>
        </w:rPr>
        <w:t xml:space="preserve"> J Investig Med, 2012. </w:t>
      </w:r>
      <w:r w:rsidRPr="004B75B8">
        <w:rPr>
          <w:rFonts w:ascii="Arial" w:hAnsi="Arial" w:cs="Arial"/>
          <w:b/>
          <w:sz w:val="24"/>
          <w:szCs w:val="24"/>
        </w:rPr>
        <w:t>60</w:t>
      </w:r>
      <w:r w:rsidRPr="004B75B8">
        <w:rPr>
          <w:rFonts w:ascii="Arial" w:hAnsi="Arial" w:cs="Arial"/>
          <w:sz w:val="24"/>
          <w:szCs w:val="24"/>
        </w:rPr>
        <w:t>(8): p. 1122-30.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311.</w:t>
      </w:r>
      <w:r w:rsidRPr="004B75B8">
        <w:rPr>
          <w:rFonts w:ascii="Arial" w:hAnsi="Arial" w:cs="Arial"/>
          <w:sz w:val="24"/>
          <w:szCs w:val="24"/>
        </w:rPr>
        <w:tab/>
        <w:t xml:space="preserve">Kaaro, J., et al., </w:t>
      </w:r>
      <w:r w:rsidRPr="004B75B8">
        <w:rPr>
          <w:rFonts w:ascii="Arial" w:hAnsi="Arial" w:cs="Arial"/>
          <w:i/>
          <w:sz w:val="24"/>
          <w:szCs w:val="24"/>
        </w:rPr>
        <w:t>Is migraine a lateralization defect?</w:t>
      </w:r>
      <w:r w:rsidRPr="004B75B8">
        <w:rPr>
          <w:rFonts w:ascii="Arial" w:hAnsi="Arial" w:cs="Arial"/>
          <w:sz w:val="24"/>
          <w:szCs w:val="24"/>
        </w:rPr>
        <w:t xml:space="preserve"> Neuroreport, 2008. </w:t>
      </w:r>
      <w:r w:rsidRPr="004B75B8">
        <w:rPr>
          <w:rFonts w:ascii="Arial" w:hAnsi="Arial" w:cs="Arial"/>
          <w:b/>
          <w:sz w:val="24"/>
          <w:szCs w:val="24"/>
        </w:rPr>
        <w:t>19</w:t>
      </w:r>
      <w:r w:rsidRPr="004B75B8">
        <w:rPr>
          <w:rFonts w:ascii="Arial" w:hAnsi="Arial" w:cs="Arial"/>
          <w:sz w:val="24"/>
          <w:szCs w:val="24"/>
        </w:rPr>
        <w:t>(13): p. 1351-3.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312.</w:t>
      </w:r>
      <w:r w:rsidRPr="004B75B8">
        <w:rPr>
          <w:rFonts w:ascii="Arial" w:hAnsi="Arial" w:cs="Arial"/>
          <w:sz w:val="24"/>
          <w:szCs w:val="24"/>
        </w:rPr>
        <w:tab/>
        <w:t xml:space="preserve">Guo, Z.N., et al., </w:t>
      </w:r>
      <w:r w:rsidRPr="004B75B8">
        <w:rPr>
          <w:rFonts w:ascii="Arial" w:hAnsi="Arial" w:cs="Arial"/>
          <w:i/>
          <w:sz w:val="24"/>
          <w:szCs w:val="24"/>
        </w:rPr>
        <w:t>Compromised dynamic cerebral autoregulation in patients with a right-to-left shunt: a potential mechanism of migraine and cryptogenic stroke.</w:t>
      </w:r>
      <w:r w:rsidRPr="004B75B8">
        <w:rPr>
          <w:rFonts w:ascii="Arial" w:hAnsi="Arial" w:cs="Arial"/>
          <w:sz w:val="24"/>
          <w:szCs w:val="24"/>
        </w:rPr>
        <w:t xml:space="preserve"> PLoS One, 2014. </w:t>
      </w:r>
      <w:r w:rsidRPr="004B75B8">
        <w:rPr>
          <w:rFonts w:ascii="Arial" w:hAnsi="Arial" w:cs="Arial"/>
          <w:b/>
          <w:sz w:val="24"/>
          <w:szCs w:val="24"/>
        </w:rPr>
        <w:t>9</w:t>
      </w:r>
      <w:r w:rsidRPr="004B75B8">
        <w:rPr>
          <w:rFonts w:ascii="Arial" w:hAnsi="Arial" w:cs="Arial"/>
          <w:sz w:val="24"/>
          <w:szCs w:val="24"/>
        </w:rPr>
        <w:t>(8): p. e104849.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313.</w:t>
      </w:r>
      <w:r w:rsidRPr="004B75B8">
        <w:rPr>
          <w:rFonts w:ascii="Arial" w:hAnsi="Arial" w:cs="Arial"/>
          <w:sz w:val="24"/>
          <w:szCs w:val="24"/>
        </w:rPr>
        <w:tab/>
        <w:t xml:space="preserve">Caputi, L., et al., </w:t>
      </w:r>
      <w:r w:rsidRPr="004B75B8">
        <w:rPr>
          <w:rFonts w:ascii="Arial" w:hAnsi="Arial" w:cs="Arial"/>
          <w:i/>
          <w:sz w:val="24"/>
          <w:szCs w:val="24"/>
        </w:rPr>
        <w:t>Microembolic air load during contrast-transcranial Doppler: a trigger for migraine with aura?</w:t>
      </w:r>
      <w:r w:rsidRPr="004B75B8">
        <w:rPr>
          <w:rFonts w:ascii="Arial" w:hAnsi="Arial" w:cs="Arial"/>
          <w:sz w:val="24"/>
          <w:szCs w:val="24"/>
        </w:rPr>
        <w:t xml:space="preserve"> Headache, 2010. </w:t>
      </w:r>
      <w:r w:rsidRPr="004B75B8">
        <w:rPr>
          <w:rFonts w:ascii="Arial" w:hAnsi="Arial" w:cs="Arial"/>
          <w:b/>
          <w:sz w:val="24"/>
          <w:szCs w:val="24"/>
        </w:rPr>
        <w:t>50</w:t>
      </w:r>
      <w:r w:rsidRPr="004B75B8">
        <w:rPr>
          <w:rFonts w:ascii="Arial" w:hAnsi="Arial" w:cs="Arial"/>
          <w:sz w:val="24"/>
          <w:szCs w:val="24"/>
        </w:rPr>
        <w:t>(8): p. 1320-7.</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314.</w:t>
      </w:r>
      <w:r w:rsidRPr="004B75B8">
        <w:rPr>
          <w:rFonts w:ascii="Arial" w:hAnsi="Arial" w:cs="Arial"/>
          <w:sz w:val="24"/>
          <w:szCs w:val="24"/>
        </w:rPr>
        <w:tab/>
        <w:t xml:space="preserve">Chapman, L.J. and J.P. Chapman, </w:t>
      </w:r>
      <w:r w:rsidRPr="004B75B8">
        <w:rPr>
          <w:rFonts w:ascii="Arial" w:hAnsi="Arial" w:cs="Arial"/>
          <w:i/>
          <w:sz w:val="24"/>
          <w:szCs w:val="24"/>
        </w:rPr>
        <w:t>The measurement of handedness.</w:t>
      </w:r>
      <w:r w:rsidRPr="004B75B8">
        <w:rPr>
          <w:rFonts w:ascii="Arial" w:hAnsi="Arial" w:cs="Arial"/>
          <w:sz w:val="24"/>
          <w:szCs w:val="24"/>
        </w:rPr>
        <w:t xml:space="preserve"> Brain Cogn, 1987. </w:t>
      </w:r>
      <w:r w:rsidRPr="004B75B8">
        <w:rPr>
          <w:rFonts w:ascii="Arial" w:hAnsi="Arial" w:cs="Arial"/>
          <w:b/>
          <w:sz w:val="24"/>
          <w:szCs w:val="24"/>
        </w:rPr>
        <w:t>6</w:t>
      </w:r>
      <w:r w:rsidRPr="004B75B8">
        <w:rPr>
          <w:rFonts w:ascii="Arial" w:hAnsi="Arial" w:cs="Arial"/>
          <w:sz w:val="24"/>
          <w:szCs w:val="24"/>
        </w:rPr>
        <w:t>(2): p. 175-83.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315.</w:t>
      </w:r>
      <w:r w:rsidRPr="004B75B8">
        <w:rPr>
          <w:rFonts w:ascii="Arial" w:hAnsi="Arial" w:cs="Arial"/>
          <w:sz w:val="24"/>
          <w:szCs w:val="24"/>
        </w:rPr>
        <w:tab/>
        <w:t xml:space="preserve">Topcuoglu, M.A., H. Aydin, and E. Saka, </w:t>
      </w:r>
      <w:r w:rsidRPr="004B75B8">
        <w:rPr>
          <w:rFonts w:ascii="Arial" w:hAnsi="Arial" w:cs="Arial"/>
          <w:i/>
          <w:sz w:val="24"/>
          <w:szCs w:val="24"/>
        </w:rPr>
        <w:t>Occipital cortex activation studied with simultaneous recordings of functional transcranial Doppler ultrasound (fTCD) and visual evoked potential (VEP) in cognitively normal human subjects: effect of healthy aging.</w:t>
      </w:r>
      <w:r w:rsidRPr="004B75B8">
        <w:rPr>
          <w:rFonts w:ascii="Arial" w:hAnsi="Arial" w:cs="Arial"/>
          <w:sz w:val="24"/>
          <w:szCs w:val="24"/>
        </w:rPr>
        <w:t xml:space="preserve"> Neurosci Lett, 2009. </w:t>
      </w:r>
      <w:r w:rsidRPr="004B75B8">
        <w:rPr>
          <w:rFonts w:ascii="Arial" w:hAnsi="Arial" w:cs="Arial"/>
          <w:b/>
          <w:sz w:val="24"/>
          <w:szCs w:val="24"/>
        </w:rPr>
        <w:t>452</w:t>
      </w:r>
      <w:r w:rsidRPr="004B75B8">
        <w:rPr>
          <w:rFonts w:ascii="Arial" w:hAnsi="Arial" w:cs="Arial"/>
          <w:sz w:val="24"/>
          <w:szCs w:val="24"/>
        </w:rPr>
        <w:t>(1): p. 17-22.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316.</w:t>
      </w:r>
      <w:r w:rsidRPr="004B75B8">
        <w:rPr>
          <w:rFonts w:ascii="Arial" w:hAnsi="Arial" w:cs="Arial"/>
          <w:sz w:val="24"/>
          <w:szCs w:val="24"/>
        </w:rPr>
        <w:tab/>
        <w:t xml:space="preserve">Ertas, M., et al., </w:t>
      </w:r>
      <w:r w:rsidRPr="004B75B8">
        <w:rPr>
          <w:rFonts w:ascii="Arial" w:hAnsi="Arial" w:cs="Arial"/>
          <w:i/>
          <w:sz w:val="24"/>
          <w:szCs w:val="24"/>
        </w:rPr>
        <w:t>Validity and reliability of the Turkish Migraine Disability Assessment (MIDAS) questionnaire.</w:t>
      </w:r>
      <w:r w:rsidRPr="004B75B8">
        <w:rPr>
          <w:rFonts w:ascii="Arial" w:hAnsi="Arial" w:cs="Arial"/>
          <w:sz w:val="24"/>
          <w:szCs w:val="24"/>
        </w:rPr>
        <w:t xml:space="preserve"> Headache, 2004. </w:t>
      </w:r>
      <w:r w:rsidRPr="004B75B8">
        <w:rPr>
          <w:rFonts w:ascii="Arial" w:hAnsi="Arial" w:cs="Arial"/>
          <w:b/>
          <w:sz w:val="24"/>
          <w:szCs w:val="24"/>
        </w:rPr>
        <w:t>44</w:t>
      </w:r>
      <w:r w:rsidRPr="004B75B8">
        <w:rPr>
          <w:rFonts w:ascii="Arial" w:hAnsi="Arial" w:cs="Arial"/>
          <w:sz w:val="24"/>
          <w:szCs w:val="24"/>
        </w:rPr>
        <w:t>(8): p. 786-93.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317.</w:t>
      </w:r>
      <w:r w:rsidRPr="004B75B8">
        <w:rPr>
          <w:rFonts w:ascii="Arial" w:hAnsi="Arial" w:cs="Arial"/>
          <w:sz w:val="24"/>
          <w:szCs w:val="24"/>
        </w:rPr>
        <w:tab/>
        <w:t xml:space="preserve">Chatterton, M.L., et al., </w:t>
      </w:r>
      <w:r w:rsidRPr="004B75B8">
        <w:rPr>
          <w:rFonts w:ascii="Arial" w:hAnsi="Arial" w:cs="Arial"/>
          <w:i/>
          <w:sz w:val="24"/>
          <w:szCs w:val="24"/>
        </w:rPr>
        <w:t>Reliability and validity of the migraine therapy assessment questionnaire.</w:t>
      </w:r>
      <w:r w:rsidRPr="004B75B8">
        <w:rPr>
          <w:rFonts w:ascii="Arial" w:hAnsi="Arial" w:cs="Arial"/>
          <w:sz w:val="24"/>
          <w:szCs w:val="24"/>
        </w:rPr>
        <w:t xml:space="preserve"> Headache, 2002. </w:t>
      </w:r>
      <w:r w:rsidRPr="004B75B8">
        <w:rPr>
          <w:rFonts w:ascii="Arial" w:hAnsi="Arial" w:cs="Arial"/>
          <w:b/>
          <w:sz w:val="24"/>
          <w:szCs w:val="24"/>
        </w:rPr>
        <w:t>42</w:t>
      </w:r>
      <w:r w:rsidRPr="004B75B8">
        <w:rPr>
          <w:rFonts w:ascii="Arial" w:hAnsi="Arial" w:cs="Arial"/>
          <w:sz w:val="24"/>
          <w:szCs w:val="24"/>
        </w:rPr>
        <w:t>(10): p. 1006-15.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318.</w:t>
      </w:r>
      <w:r w:rsidRPr="004B75B8">
        <w:rPr>
          <w:rFonts w:ascii="Arial" w:hAnsi="Arial" w:cs="Arial"/>
          <w:sz w:val="24"/>
          <w:szCs w:val="24"/>
        </w:rPr>
        <w:tab/>
        <w:t xml:space="preserve">Nachit-Ouinekh, F., et al., </w:t>
      </w:r>
      <w:r w:rsidRPr="004B75B8">
        <w:rPr>
          <w:rFonts w:ascii="Arial" w:hAnsi="Arial" w:cs="Arial"/>
          <w:i/>
          <w:sz w:val="24"/>
          <w:szCs w:val="24"/>
        </w:rPr>
        <w:t>Use of the headache impact test (HIT-6) in general practice: relationship with quality of life and severity.</w:t>
      </w:r>
      <w:r w:rsidRPr="004B75B8">
        <w:rPr>
          <w:rFonts w:ascii="Arial" w:hAnsi="Arial" w:cs="Arial"/>
          <w:sz w:val="24"/>
          <w:szCs w:val="24"/>
        </w:rPr>
        <w:t xml:space="preserve"> Eur J Neurol, 2005. </w:t>
      </w:r>
      <w:r w:rsidRPr="004B75B8">
        <w:rPr>
          <w:rFonts w:ascii="Arial" w:hAnsi="Arial" w:cs="Arial"/>
          <w:b/>
          <w:sz w:val="24"/>
          <w:szCs w:val="24"/>
        </w:rPr>
        <w:t>12</w:t>
      </w:r>
      <w:r w:rsidRPr="004B75B8">
        <w:rPr>
          <w:rFonts w:ascii="Arial" w:hAnsi="Arial" w:cs="Arial"/>
          <w:sz w:val="24"/>
          <w:szCs w:val="24"/>
        </w:rPr>
        <w:t>(3): p. 189-93.</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319.</w:t>
      </w:r>
      <w:r w:rsidRPr="004B75B8">
        <w:rPr>
          <w:rFonts w:ascii="Arial" w:hAnsi="Arial" w:cs="Arial"/>
          <w:sz w:val="24"/>
          <w:szCs w:val="24"/>
        </w:rPr>
        <w:tab/>
        <w:t xml:space="preserve">Aaslid, R., T.M. Markwalder, and H. Nornes, </w:t>
      </w:r>
      <w:r w:rsidRPr="004B75B8">
        <w:rPr>
          <w:rFonts w:ascii="Arial" w:hAnsi="Arial" w:cs="Arial"/>
          <w:i/>
          <w:sz w:val="24"/>
          <w:szCs w:val="24"/>
        </w:rPr>
        <w:t>Noninvasive transcranial Doppler ultrasound recording of flow velocity in basal cerebral arteries.</w:t>
      </w:r>
      <w:r w:rsidRPr="004B75B8">
        <w:rPr>
          <w:rFonts w:ascii="Arial" w:hAnsi="Arial" w:cs="Arial"/>
          <w:sz w:val="24"/>
          <w:szCs w:val="24"/>
        </w:rPr>
        <w:t xml:space="preserve"> J Neurosurg, 1982. </w:t>
      </w:r>
      <w:r w:rsidRPr="004B75B8">
        <w:rPr>
          <w:rFonts w:ascii="Arial" w:hAnsi="Arial" w:cs="Arial"/>
          <w:b/>
          <w:sz w:val="24"/>
          <w:szCs w:val="24"/>
        </w:rPr>
        <w:t>57</w:t>
      </w:r>
      <w:r w:rsidRPr="004B75B8">
        <w:rPr>
          <w:rFonts w:ascii="Arial" w:hAnsi="Arial" w:cs="Arial"/>
          <w:sz w:val="24"/>
          <w:szCs w:val="24"/>
        </w:rPr>
        <w:t>(6): p. 769-74.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320.</w:t>
      </w:r>
      <w:r w:rsidRPr="004B75B8">
        <w:rPr>
          <w:rFonts w:ascii="Arial" w:hAnsi="Arial" w:cs="Arial"/>
          <w:sz w:val="24"/>
          <w:szCs w:val="24"/>
        </w:rPr>
        <w:tab/>
        <w:t>Alexandrov, A.V. and D. V.,</w:t>
      </w:r>
      <w:r w:rsidRPr="004B75B8">
        <w:rPr>
          <w:rFonts w:ascii="Arial" w:hAnsi="Arial" w:cs="Arial"/>
          <w:i/>
          <w:sz w:val="24"/>
          <w:szCs w:val="24"/>
        </w:rPr>
        <w:t xml:space="preserve"> Insonation techniques and diagnostic criteria for transcranial Doppler sonography. .</w:t>
      </w:r>
      <w:r w:rsidRPr="004B75B8">
        <w:rPr>
          <w:rFonts w:ascii="Arial" w:hAnsi="Arial" w:cs="Arial"/>
          <w:sz w:val="24"/>
          <w:szCs w:val="24"/>
        </w:rPr>
        <w:t xml:space="preserve"> Acta Clin Croat., 1999. </w:t>
      </w:r>
      <w:r w:rsidRPr="004B75B8">
        <w:rPr>
          <w:rFonts w:ascii="Arial" w:hAnsi="Arial" w:cs="Arial"/>
          <w:b/>
          <w:sz w:val="24"/>
          <w:szCs w:val="24"/>
        </w:rPr>
        <w:t>38</w:t>
      </w:r>
      <w:r w:rsidRPr="004B75B8">
        <w:rPr>
          <w:rFonts w:ascii="Arial" w:hAnsi="Arial" w:cs="Arial"/>
          <w:sz w:val="24"/>
          <w:szCs w:val="24"/>
        </w:rPr>
        <w:t>: p. 97-108.</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321.</w:t>
      </w:r>
      <w:r w:rsidRPr="004B75B8">
        <w:rPr>
          <w:rFonts w:ascii="Arial" w:hAnsi="Arial" w:cs="Arial"/>
          <w:sz w:val="24"/>
          <w:szCs w:val="24"/>
        </w:rPr>
        <w:tab/>
        <w:t xml:space="preserve">Lao, A.Y., et al., </w:t>
      </w:r>
      <w:r w:rsidRPr="004B75B8">
        <w:rPr>
          <w:rFonts w:ascii="Arial" w:hAnsi="Arial" w:cs="Arial"/>
          <w:i/>
          <w:sz w:val="24"/>
          <w:szCs w:val="24"/>
        </w:rPr>
        <w:t>Detection of right-to-left shunts: comparison between the International Consensus and Spencer Logarithmic Scale criteria.</w:t>
      </w:r>
      <w:r w:rsidRPr="004B75B8">
        <w:rPr>
          <w:rFonts w:ascii="Arial" w:hAnsi="Arial" w:cs="Arial"/>
          <w:sz w:val="24"/>
          <w:szCs w:val="24"/>
        </w:rPr>
        <w:t xml:space="preserve"> J Neuroimaging, 2008. </w:t>
      </w:r>
      <w:r w:rsidRPr="004B75B8">
        <w:rPr>
          <w:rFonts w:ascii="Arial" w:hAnsi="Arial" w:cs="Arial"/>
          <w:b/>
          <w:sz w:val="24"/>
          <w:szCs w:val="24"/>
        </w:rPr>
        <w:t>18</w:t>
      </w:r>
      <w:r w:rsidRPr="004B75B8">
        <w:rPr>
          <w:rFonts w:ascii="Arial" w:hAnsi="Arial" w:cs="Arial"/>
          <w:sz w:val="24"/>
          <w:szCs w:val="24"/>
        </w:rPr>
        <w:t>(4): p. 402-6.</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322.</w:t>
      </w:r>
      <w:r w:rsidRPr="004B75B8">
        <w:rPr>
          <w:rFonts w:ascii="Arial" w:hAnsi="Arial" w:cs="Arial"/>
          <w:sz w:val="24"/>
          <w:szCs w:val="24"/>
        </w:rPr>
        <w:tab/>
        <w:t xml:space="preserve">Topcuoglu, M.A., </w:t>
      </w:r>
      <w:r w:rsidRPr="004B75B8">
        <w:rPr>
          <w:rFonts w:ascii="Arial" w:hAnsi="Arial" w:cs="Arial"/>
          <w:i/>
          <w:sz w:val="24"/>
          <w:szCs w:val="24"/>
        </w:rPr>
        <w:t>Transcranial Doppler ultrasound in neurovascular diseases: diagnostic and therapeutic aspects.</w:t>
      </w:r>
      <w:r w:rsidRPr="004B75B8">
        <w:rPr>
          <w:rFonts w:ascii="Arial" w:hAnsi="Arial" w:cs="Arial"/>
          <w:sz w:val="24"/>
          <w:szCs w:val="24"/>
        </w:rPr>
        <w:t xml:space="preserve"> J Neurochem, 2012. </w:t>
      </w:r>
      <w:r w:rsidRPr="004B75B8">
        <w:rPr>
          <w:rFonts w:ascii="Arial" w:hAnsi="Arial" w:cs="Arial"/>
          <w:b/>
          <w:sz w:val="24"/>
          <w:szCs w:val="24"/>
        </w:rPr>
        <w:t>123 Suppl 2</w:t>
      </w:r>
      <w:r w:rsidRPr="004B75B8">
        <w:rPr>
          <w:rFonts w:ascii="Arial" w:hAnsi="Arial" w:cs="Arial"/>
          <w:sz w:val="24"/>
          <w:szCs w:val="24"/>
        </w:rPr>
        <w:t>: p. 39-51.</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323.</w:t>
      </w:r>
      <w:r w:rsidRPr="004B75B8">
        <w:rPr>
          <w:rFonts w:ascii="Arial" w:hAnsi="Arial" w:cs="Arial"/>
          <w:sz w:val="24"/>
          <w:szCs w:val="24"/>
        </w:rPr>
        <w:tab/>
        <w:t xml:space="preserve">Florence, G., et al., </w:t>
      </w:r>
      <w:r w:rsidRPr="004B75B8">
        <w:rPr>
          <w:rFonts w:ascii="Arial" w:hAnsi="Arial" w:cs="Arial"/>
          <w:i/>
          <w:sz w:val="24"/>
          <w:szCs w:val="24"/>
        </w:rPr>
        <w:t>Spreading depression reversibly impairs autoregulation of cortical blood flow.</w:t>
      </w:r>
      <w:r w:rsidRPr="004B75B8">
        <w:rPr>
          <w:rFonts w:ascii="Arial" w:hAnsi="Arial" w:cs="Arial"/>
          <w:sz w:val="24"/>
          <w:szCs w:val="24"/>
        </w:rPr>
        <w:t xml:space="preserve"> Am J Physiol, 1994. </w:t>
      </w:r>
      <w:r w:rsidRPr="004B75B8">
        <w:rPr>
          <w:rFonts w:ascii="Arial" w:hAnsi="Arial" w:cs="Arial"/>
          <w:b/>
          <w:sz w:val="24"/>
          <w:szCs w:val="24"/>
        </w:rPr>
        <w:t>266</w:t>
      </w:r>
      <w:r w:rsidRPr="004B75B8">
        <w:rPr>
          <w:rFonts w:ascii="Arial" w:hAnsi="Arial" w:cs="Arial"/>
          <w:sz w:val="24"/>
          <w:szCs w:val="24"/>
        </w:rPr>
        <w:t>(4 Pt 2): p. R1136-40.</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lastRenderedPageBreak/>
        <w:t>324.</w:t>
      </w:r>
      <w:r w:rsidRPr="004B75B8">
        <w:rPr>
          <w:rFonts w:ascii="Arial" w:hAnsi="Arial" w:cs="Arial"/>
          <w:sz w:val="24"/>
          <w:szCs w:val="24"/>
        </w:rPr>
        <w:tab/>
        <w:t xml:space="preserve">Lauritzen, M., </w:t>
      </w:r>
      <w:r w:rsidRPr="004B75B8">
        <w:rPr>
          <w:rFonts w:ascii="Arial" w:hAnsi="Arial" w:cs="Arial"/>
          <w:i/>
          <w:sz w:val="24"/>
          <w:szCs w:val="24"/>
        </w:rPr>
        <w:t>Long-lasting reduction of cortical blood flow of the brain after spreading depression with preserved autoregulation and impaired CO2 response.</w:t>
      </w:r>
      <w:r w:rsidRPr="004B75B8">
        <w:rPr>
          <w:rFonts w:ascii="Arial" w:hAnsi="Arial" w:cs="Arial"/>
          <w:sz w:val="24"/>
          <w:szCs w:val="24"/>
        </w:rPr>
        <w:t xml:space="preserve"> J Cereb Blood Flow Metab, 1984. </w:t>
      </w:r>
      <w:r w:rsidRPr="004B75B8">
        <w:rPr>
          <w:rFonts w:ascii="Arial" w:hAnsi="Arial" w:cs="Arial"/>
          <w:b/>
          <w:sz w:val="24"/>
          <w:szCs w:val="24"/>
        </w:rPr>
        <w:t>4</w:t>
      </w:r>
      <w:r w:rsidRPr="004B75B8">
        <w:rPr>
          <w:rFonts w:ascii="Arial" w:hAnsi="Arial" w:cs="Arial"/>
          <w:sz w:val="24"/>
          <w:szCs w:val="24"/>
        </w:rPr>
        <w:t>(4): p. 546-54.</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325.</w:t>
      </w:r>
      <w:r w:rsidRPr="004B75B8">
        <w:rPr>
          <w:rFonts w:ascii="Arial" w:hAnsi="Arial" w:cs="Arial"/>
          <w:sz w:val="24"/>
          <w:szCs w:val="24"/>
        </w:rPr>
        <w:tab/>
        <w:t xml:space="preserve">Caplan, L.R. and M. Hennerici, </w:t>
      </w:r>
      <w:r w:rsidRPr="004B75B8">
        <w:rPr>
          <w:rFonts w:ascii="Arial" w:hAnsi="Arial" w:cs="Arial"/>
          <w:i/>
          <w:sz w:val="24"/>
          <w:szCs w:val="24"/>
        </w:rPr>
        <w:t>Impaired clearance of emboli (washout) is an important link between hypoperfusion, embolism, and ischemic stroke.</w:t>
      </w:r>
      <w:r w:rsidRPr="004B75B8">
        <w:rPr>
          <w:rFonts w:ascii="Arial" w:hAnsi="Arial" w:cs="Arial"/>
          <w:sz w:val="24"/>
          <w:szCs w:val="24"/>
        </w:rPr>
        <w:t xml:space="preserve"> Arch Neurol, 1998. </w:t>
      </w:r>
      <w:r w:rsidRPr="004B75B8">
        <w:rPr>
          <w:rFonts w:ascii="Arial" w:hAnsi="Arial" w:cs="Arial"/>
          <w:b/>
          <w:sz w:val="24"/>
          <w:szCs w:val="24"/>
        </w:rPr>
        <w:t>55</w:t>
      </w:r>
      <w:r w:rsidRPr="004B75B8">
        <w:rPr>
          <w:rFonts w:ascii="Arial" w:hAnsi="Arial" w:cs="Arial"/>
          <w:sz w:val="24"/>
          <w:szCs w:val="24"/>
        </w:rPr>
        <w:t>(11): p. 1475-82.</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326.</w:t>
      </w:r>
      <w:r w:rsidRPr="004B75B8">
        <w:rPr>
          <w:rFonts w:ascii="Arial" w:hAnsi="Arial" w:cs="Arial"/>
          <w:sz w:val="24"/>
          <w:szCs w:val="24"/>
        </w:rPr>
        <w:tab/>
        <w:t xml:space="preserve">Fiermonte, G., et al., </w:t>
      </w:r>
      <w:r w:rsidRPr="004B75B8">
        <w:rPr>
          <w:rFonts w:ascii="Arial" w:hAnsi="Arial" w:cs="Arial"/>
          <w:i/>
          <w:sz w:val="24"/>
          <w:szCs w:val="24"/>
        </w:rPr>
        <w:t>Cerebrovascular CO2 reactivity in migraine with aura and without aura. A transcranial Doppler study.</w:t>
      </w:r>
      <w:r w:rsidRPr="004B75B8">
        <w:rPr>
          <w:rFonts w:ascii="Arial" w:hAnsi="Arial" w:cs="Arial"/>
          <w:sz w:val="24"/>
          <w:szCs w:val="24"/>
        </w:rPr>
        <w:t xml:space="preserve"> Acta Neurol Scand, 1995. </w:t>
      </w:r>
      <w:r w:rsidRPr="004B75B8">
        <w:rPr>
          <w:rFonts w:ascii="Arial" w:hAnsi="Arial" w:cs="Arial"/>
          <w:b/>
          <w:sz w:val="24"/>
          <w:szCs w:val="24"/>
        </w:rPr>
        <w:t>92</w:t>
      </w:r>
      <w:r w:rsidRPr="004B75B8">
        <w:rPr>
          <w:rFonts w:ascii="Arial" w:hAnsi="Arial" w:cs="Arial"/>
          <w:sz w:val="24"/>
          <w:szCs w:val="24"/>
        </w:rPr>
        <w:t>(2): p. 166-9.</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327.</w:t>
      </w:r>
      <w:r w:rsidRPr="004B75B8">
        <w:rPr>
          <w:rFonts w:ascii="Arial" w:hAnsi="Arial" w:cs="Arial"/>
          <w:sz w:val="24"/>
          <w:szCs w:val="24"/>
        </w:rPr>
        <w:tab/>
        <w:t xml:space="preserve">Thomsen, L.L., H.K. Iversen, and J. Olesen, </w:t>
      </w:r>
      <w:r w:rsidRPr="004B75B8">
        <w:rPr>
          <w:rFonts w:ascii="Arial" w:hAnsi="Arial" w:cs="Arial"/>
          <w:i/>
          <w:sz w:val="24"/>
          <w:szCs w:val="24"/>
        </w:rPr>
        <w:t>Increased cerebrovascular pCO2 reactivity in migraine with aura--a transcranial Doppler study during hyperventilation.</w:t>
      </w:r>
      <w:r w:rsidRPr="004B75B8">
        <w:rPr>
          <w:rFonts w:ascii="Arial" w:hAnsi="Arial" w:cs="Arial"/>
          <w:sz w:val="24"/>
          <w:szCs w:val="24"/>
        </w:rPr>
        <w:t xml:space="preserve"> Cephalalgia, 1995. </w:t>
      </w:r>
      <w:r w:rsidRPr="004B75B8">
        <w:rPr>
          <w:rFonts w:ascii="Arial" w:hAnsi="Arial" w:cs="Arial"/>
          <w:b/>
          <w:sz w:val="24"/>
          <w:szCs w:val="24"/>
        </w:rPr>
        <w:t>15</w:t>
      </w:r>
      <w:r w:rsidRPr="004B75B8">
        <w:rPr>
          <w:rFonts w:ascii="Arial" w:hAnsi="Arial" w:cs="Arial"/>
          <w:sz w:val="24"/>
          <w:szCs w:val="24"/>
        </w:rPr>
        <w:t>(3): p. 211-5.</w:t>
      </w:r>
    </w:p>
    <w:p w:rsidR="00E659A9" w:rsidRPr="004B75B8" w:rsidRDefault="00E659A9" w:rsidP="004B75B8">
      <w:pPr>
        <w:pStyle w:val="EndNoteBibliography"/>
        <w:spacing w:after="120"/>
        <w:ind w:left="567" w:hanging="567"/>
        <w:rPr>
          <w:rFonts w:ascii="Arial" w:hAnsi="Arial" w:cs="Arial"/>
          <w:sz w:val="24"/>
          <w:szCs w:val="24"/>
        </w:rPr>
      </w:pPr>
      <w:r w:rsidRPr="004B75B8">
        <w:rPr>
          <w:rFonts w:ascii="Arial" w:hAnsi="Arial" w:cs="Arial"/>
          <w:sz w:val="24"/>
          <w:szCs w:val="24"/>
        </w:rPr>
        <w:t>328.</w:t>
      </w:r>
      <w:r w:rsidRPr="004B75B8">
        <w:rPr>
          <w:rFonts w:ascii="Arial" w:hAnsi="Arial" w:cs="Arial"/>
          <w:sz w:val="24"/>
          <w:szCs w:val="24"/>
        </w:rPr>
        <w:tab/>
        <w:t xml:space="preserve">Butler, B.D. and B.A. Hills, </w:t>
      </w:r>
      <w:r w:rsidRPr="004B75B8">
        <w:rPr>
          <w:rFonts w:ascii="Arial" w:hAnsi="Arial" w:cs="Arial"/>
          <w:i/>
          <w:sz w:val="24"/>
          <w:szCs w:val="24"/>
        </w:rPr>
        <w:t>The lung as a filter for microbubbles.</w:t>
      </w:r>
      <w:r w:rsidRPr="004B75B8">
        <w:rPr>
          <w:rFonts w:ascii="Arial" w:hAnsi="Arial" w:cs="Arial"/>
          <w:sz w:val="24"/>
          <w:szCs w:val="24"/>
        </w:rPr>
        <w:t xml:space="preserve"> J Appl Physiol Respir Environ Exerc Physiol, 1979. </w:t>
      </w:r>
      <w:r w:rsidRPr="004B75B8">
        <w:rPr>
          <w:rFonts w:ascii="Arial" w:hAnsi="Arial" w:cs="Arial"/>
          <w:b/>
          <w:sz w:val="24"/>
          <w:szCs w:val="24"/>
        </w:rPr>
        <w:t>47</w:t>
      </w:r>
      <w:r w:rsidRPr="004B75B8">
        <w:rPr>
          <w:rFonts w:ascii="Arial" w:hAnsi="Arial" w:cs="Arial"/>
          <w:sz w:val="24"/>
          <w:szCs w:val="24"/>
        </w:rPr>
        <w:t>(3): p. 537-43.</w:t>
      </w:r>
    </w:p>
    <w:p w:rsidR="00FF2F61" w:rsidRPr="004B75B8" w:rsidRDefault="00FF2F61">
      <w:pPr>
        <w:rPr>
          <w:rFonts w:ascii="Arial" w:hAnsi="Arial" w:cs="Arial"/>
          <w:noProof/>
        </w:rPr>
      </w:pPr>
    </w:p>
    <w:p w:rsidR="0070585C" w:rsidRDefault="0070585C">
      <w:bookmarkStart w:id="64" w:name="_GoBack"/>
      <w:bookmarkEnd w:id="64"/>
    </w:p>
    <w:sectPr w:rsidR="0070585C" w:rsidSect="004B75B8">
      <w:pgSz w:w="11906" w:h="16838" w:code="9"/>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7A8" w:rsidRDefault="00CE27A8">
      <w:pPr>
        <w:spacing w:after="0" w:line="240" w:lineRule="auto"/>
      </w:pPr>
      <w:r>
        <w:separator/>
      </w:r>
    </w:p>
  </w:endnote>
  <w:endnote w:type="continuationSeparator" w:id="0">
    <w:p w:rsidR="00CE27A8" w:rsidRDefault="00CE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BF" w:rsidRPr="00AA51A2" w:rsidRDefault="007259BF" w:rsidP="00AA51A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7A8" w:rsidRDefault="00CE27A8">
      <w:pPr>
        <w:spacing w:after="0" w:line="240" w:lineRule="auto"/>
      </w:pPr>
      <w:r>
        <w:separator/>
      </w:r>
    </w:p>
  </w:footnote>
  <w:footnote w:type="continuationSeparator" w:id="0">
    <w:p w:rsidR="00CE27A8" w:rsidRDefault="00CE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060102"/>
      <w:docPartObj>
        <w:docPartGallery w:val="Page Numbers (Top of Page)"/>
        <w:docPartUnique/>
      </w:docPartObj>
    </w:sdtPr>
    <w:sdtEndPr>
      <w:rPr>
        <w:rFonts w:ascii="Arial" w:hAnsi="Arial" w:cs="Arial"/>
      </w:rPr>
    </w:sdtEndPr>
    <w:sdtContent>
      <w:p w:rsidR="007259BF" w:rsidRPr="00AA51A2" w:rsidRDefault="007259BF">
        <w:pPr>
          <w:pStyle w:val="stBilgi"/>
          <w:jc w:val="right"/>
          <w:rPr>
            <w:rFonts w:ascii="Arial" w:hAnsi="Arial" w:cs="Arial"/>
          </w:rPr>
        </w:pPr>
        <w:r w:rsidRPr="00AA51A2">
          <w:rPr>
            <w:rFonts w:ascii="Arial" w:hAnsi="Arial" w:cs="Arial"/>
          </w:rPr>
          <w:fldChar w:fldCharType="begin"/>
        </w:r>
        <w:r w:rsidRPr="00AA51A2">
          <w:rPr>
            <w:rFonts w:ascii="Arial" w:hAnsi="Arial" w:cs="Arial"/>
          </w:rPr>
          <w:instrText>PAGE   \* MERGEFORMAT</w:instrText>
        </w:r>
        <w:r w:rsidRPr="00AA51A2">
          <w:rPr>
            <w:rFonts w:ascii="Arial" w:hAnsi="Arial" w:cs="Arial"/>
          </w:rPr>
          <w:fldChar w:fldCharType="separate"/>
        </w:r>
        <w:r w:rsidR="006618EA">
          <w:rPr>
            <w:rFonts w:ascii="Arial" w:hAnsi="Arial" w:cs="Arial"/>
            <w:noProof/>
          </w:rPr>
          <w:t>97</w:t>
        </w:r>
        <w:r w:rsidRPr="00AA51A2">
          <w:rPr>
            <w:rFonts w:ascii="Arial" w:hAnsi="Arial" w:cs="Arial"/>
          </w:rPr>
          <w:fldChar w:fldCharType="end"/>
        </w:r>
      </w:p>
    </w:sdtContent>
  </w:sdt>
  <w:p w:rsidR="007259BF" w:rsidRDefault="007259B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40FF"/>
    <w:multiLevelType w:val="hybridMultilevel"/>
    <w:tmpl w:val="59629E6C"/>
    <w:lvl w:ilvl="0" w:tplc="F89639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8E2520"/>
    <w:multiLevelType w:val="multilevel"/>
    <w:tmpl w:val="232EDCF0"/>
    <w:lvl w:ilvl="0">
      <w:start w:val="1"/>
      <w:numFmt w:val="decimal"/>
      <w:lvlText w:val="%1."/>
      <w:lvlJc w:val="left"/>
      <w:pPr>
        <w:ind w:left="720" w:hanging="360"/>
      </w:pPr>
      <w:rPr>
        <w:rFonts w:hint="default"/>
      </w:rPr>
    </w:lvl>
    <w:lvl w:ilvl="1">
      <w:start w:val="3"/>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90016D"/>
    <w:multiLevelType w:val="hybridMultilevel"/>
    <w:tmpl w:val="4A4C957C"/>
    <w:lvl w:ilvl="0" w:tplc="CEE83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550144"/>
    <w:multiLevelType w:val="multilevel"/>
    <w:tmpl w:val="DEC81C7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7CF095D"/>
    <w:multiLevelType w:val="hybridMultilevel"/>
    <w:tmpl w:val="D4E4EFA4"/>
    <w:lvl w:ilvl="0" w:tplc="B180F4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6B6EDB"/>
    <w:multiLevelType w:val="hybridMultilevel"/>
    <w:tmpl w:val="C6A2B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C7D3E"/>
    <w:multiLevelType w:val="multilevel"/>
    <w:tmpl w:val="DEC81C7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2A721137"/>
    <w:multiLevelType w:val="multilevel"/>
    <w:tmpl w:val="DEC81C7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39E42447"/>
    <w:multiLevelType w:val="hybridMultilevel"/>
    <w:tmpl w:val="A2ECE3FC"/>
    <w:lvl w:ilvl="0" w:tplc="B180F4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065485"/>
    <w:multiLevelType w:val="hybridMultilevel"/>
    <w:tmpl w:val="C242087A"/>
    <w:lvl w:ilvl="0" w:tplc="1A3E39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556281F"/>
    <w:multiLevelType w:val="hybridMultilevel"/>
    <w:tmpl w:val="EFFC42E6"/>
    <w:lvl w:ilvl="0" w:tplc="A48C32DC">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45E80C49"/>
    <w:multiLevelType w:val="hybridMultilevel"/>
    <w:tmpl w:val="C6BC9848"/>
    <w:lvl w:ilvl="0" w:tplc="504844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E764EC4"/>
    <w:multiLevelType w:val="hybridMultilevel"/>
    <w:tmpl w:val="CF42AC22"/>
    <w:lvl w:ilvl="0" w:tplc="B3E255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686898"/>
    <w:multiLevelType w:val="multilevel"/>
    <w:tmpl w:val="DEC81C7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60C6591F"/>
    <w:multiLevelType w:val="hybridMultilevel"/>
    <w:tmpl w:val="9502083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D8C6C5D"/>
    <w:multiLevelType w:val="hybridMultilevel"/>
    <w:tmpl w:val="5224BF44"/>
    <w:lvl w:ilvl="0" w:tplc="729056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086080"/>
    <w:multiLevelType w:val="hybridMultilevel"/>
    <w:tmpl w:val="8F06824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4C75671"/>
    <w:multiLevelType w:val="hybridMultilevel"/>
    <w:tmpl w:val="848677E4"/>
    <w:lvl w:ilvl="0" w:tplc="041F000F">
      <w:start w:val="1"/>
      <w:numFmt w:val="decimal"/>
      <w:lvlText w:val="%1."/>
      <w:lvlJc w:val="left"/>
      <w:pPr>
        <w:ind w:left="5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9C127A"/>
    <w:multiLevelType w:val="hybridMultilevel"/>
    <w:tmpl w:val="FA9E34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18"/>
  </w:num>
  <w:num w:numId="6">
    <w:abstractNumId w:val="0"/>
  </w:num>
  <w:num w:numId="7">
    <w:abstractNumId w:val="3"/>
  </w:num>
  <w:num w:numId="8">
    <w:abstractNumId w:val="8"/>
  </w:num>
  <w:num w:numId="9">
    <w:abstractNumId w:val="11"/>
  </w:num>
  <w:num w:numId="10">
    <w:abstractNumId w:val="9"/>
  </w:num>
  <w:num w:numId="11">
    <w:abstractNumId w:val="15"/>
  </w:num>
  <w:num w:numId="12">
    <w:abstractNumId w:val="16"/>
  </w:num>
  <w:num w:numId="13">
    <w:abstractNumId w:val="14"/>
  </w:num>
  <w:num w:numId="14">
    <w:abstractNumId w:val="12"/>
  </w:num>
  <w:num w:numId="15">
    <w:abstractNumId w:val="17"/>
  </w:num>
  <w:num w:numId="16">
    <w:abstractNumId w:val="7"/>
  </w:num>
  <w:num w:numId="17">
    <w:abstractNumId w:val="13"/>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659A9"/>
    <w:rsid w:val="00125831"/>
    <w:rsid w:val="001731FC"/>
    <w:rsid w:val="00461F9A"/>
    <w:rsid w:val="0046600F"/>
    <w:rsid w:val="004B75B8"/>
    <w:rsid w:val="004C7E64"/>
    <w:rsid w:val="0056631F"/>
    <w:rsid w:val="006618EA"/>
    <w:rsid w:val="006E2ACB"/>
    <w:rsid w:val="0070585C"/>
    <w:rsid w:val="007259BF"/>
    <w:rsid w:val="008D07B9"/>
    <w:rsid w:val="009C39FF"/>
    <w:rsid w:val="009C3BAE"/>
    <w:rsid w:val="009E5AE5"/>
    <w:rsid w:val="00A108F7"/>
    <w:rsid w:val="00AA51A2"/>
    <w:rsid w:val="00AC3AB1"/>
    <w:rsid w:val="00AC50D2"/>
    <w:rsid w:val="00C20723"/>
    <w:rsid w:val="00C416C3"/>
    <w:rsid w:val="00CB6800"/>
    <w:rsid w:val="00CD09BF"/>
    <w:rsid w:val="00CE27A8"/>
    <w:rsid w:val="00D11E00"/>
    <w:rsid w:val="00DE5166"/>
    <w:rsid w:val="00DF11CD"/>
    <w:rsid w:val="00E659A9"/>
    <w:rsid w:val="00EE3036"/>
    <w:rsid w:val="00F610CC"/>
    <w:rsid w:val="00FB3620"/>
    <w:rsid w:val="00FD4BA1"/>
    <w:rsid w:val="00FF2F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C597"/>
  <w15:chartTrackingRefBased/>
  <w15:docId w15:val="{D564C2E8-7D58-469B-8813-0F476F17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9A9"/>
  </w:style>
  <w:style w:type="paragraph" w:styleId="Balk1">
    <w:name w:val="heading 1"/>
    <w:basedOn w:val="Normal"/>
    <w:next w:val="Normal"/>
    <w:link w:val="Balk1Char"/>
    <w:uiPriority w:val="9"/>
    <w:qFormat/>
    <w:rsid w:val="00EE3036"/>
    <w:pPr>
      <w:keepNext/>
      <w:keepLines/>
      <w:spacing w:after="360" w:line="360" w:lineRule="auto"/>
      <w:jc w:val="center"/>
      <w:outlineLvl w:val="0"/>
    </w:pPr>
    <w:rPr>
      <w:rFonts w:ascii="Arial" w:eastAsiaTheme="majorEastAsia" w:hAnsi="Arial" w:cstheme="majorBidi"/>
      <w:b/>
      <w:sz w:val="24"/>
      <w:szCs w:val="32"/>
    </w:rPr>
  </w:style>
  <w:style w:type="paragraph" w:styleId="Balk2">
    <w:name w:val="heading 2"/>
    <w:basedOn w:val="Normal"/>
    <w:next w:val="Normal"/>
    <w:link w:val="Balk2Char"/>
    <w:uiPriority w:val="9"/>
    <w:unhideWhenUsed/>
    <w:qFormat/>
    <w:rsid w:val="00AA51A2"/>
    <w:pPr>
      <w:keepNext/>
      <w:keepLines/>
      <w:spacing w:before="360" w:after="120" w:line="360" w:lineRule="auto"/>
      <w:outlineLvl w:val="1"/>
    </w:pPr>
    <w:rPr>
      <w:rFonts w:ascii="Arial" w:eastAsiaTheme="majorEastAsia" w:hAnsi="Arial" w:cstheme="majorBidi"/>
      <w:b/>
      <w:sz w:val="24"/>
      <w:szCs w:val="26"/>
    </w:rPr>
  </w:style>
  <w:style w:type="paragraph" w:styleId="Balk3">
    <w:name w:val="heading 3"/>
    <w:basedOn w:val="Normal"/>
    <w:next w:val="Normal"/>
    <w:link w:val="Balk3Char"/>
    <w:uiPriority w:val="9"/>
    <w:unhideWhenUsed/>
    <w:qFormat/>
    <w:rsid w:val="004C7E64"/>
    <w:pPr>
      <w:keepNext/>
      <w:keepLines/>
      <w:spacing w:before="360" w:after="120" w:line="360" w:lineRule="auto"/>
      <w:ind w:firstLine="709"/>
      <w:outlineLvl w:val="2"/>
    </w:pPr>
    <w:rPr>
      <w:rFonts w:ascii="Arial" w:eastAsiaTheme="majorEastAsia" w:hAnsi="Arial" w:cstheme="majorBidi"/>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3036"/>
    <w:rPr>
      <w:rFonts w:ascii="Arial" w:eastAsiaTheme="majorEastAsia" w:hAnsi="Arial" w:cstheme="majorBidi"/>
      <w:b/>
      <w:sz w:val="24"/>
      <w:szCs w:val="32"/>
    </w:rPr>
  </w:style>
  <w:style w:type="paragraph" w:styleId="ListeParagraf">
    <w:name w:val="List Paragraph"/>
    <w:basedOn w:val="Normal"/>
    <w:uiPriority w:val="34"/>
    <w:qFormat/>
    <w:rsid w:val="00E659A9"/>
    <w:pPr>
      <w:ind w:left="720"/>
      <w:contextualSpacing/>
    </w:pPr>
  </w:style>
  <w:style w:type="paragraph" w:styleId="DipnotMetni">
    <w:name w:val="footnote text"/>
    <w:basedOn w:val="Normal"/>
    <w:link w:val="DipnotMetniChar"/>
    <w:uiPriority w:val="99"/>
    <w:semiHidden/>
    <w:unhideWhenUsed/>
    <w:rsid w:val="00E659A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659A9"/>
    <w:rPr>
      <w:sz w:val="20"/>
      <w:szCs w:val="20"/>
    </w:rPr>
  </w:style>
  <w:style w:type="character" w:styleId="DipnotBavurusu">
    <w:name w:val="footnote reference"/>
    <w:basedOn w:val="VarsaylanParagrafYazTipi"/>
    <w:uiPriority w:val="99"/>
    <w:semiHidden/>
    <w:unhideWhenUsed/>
    <w:rsid w:val="00E659A9"/>
    <w:rPr>
      <w:vertAlign w:val="superscript"/>
    </w:rPr>
  </w:style>
  <w:style w:type="paragraph" w:styleId="SonnotMetni">
    <w:name w:val="endnote text"/>
    <w:basedOn w:val="Normal"/>
    <w:link w:val="SonnotMetniChar"/>
    <w:uiPriority w:val="99"/>
    <w:semiHidden/>
    <w:unhideWhenUsed/>
    <w:rsid w:val="00E659A9"/>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E659A9"/>
    <w:rPr>
      <w:sz w:val="20"/>
      <w:szCs w:val="20"/>
    </w:rPr>
  </w:style>
  <w:style w:type="character" w:styleId="SonnotBavurusu">
    <w:name w:val="endnote reference"/>
    <w:basedOn w:val="VarsaylanParagrafYazTipi"/>
    <w:uiPriority w:val="99"/>
    <w:semiHidden/>
    <w:unhideWhenUsed/>
    <w:rsid w:val="00E659A9"/>
    <w:rPr>
      <w:vertAlign w:val="superscript"/>
    </w:rPr>
  </w:style>
  <w:style w:type="paragraph" w:customStyle="1" w:styleId="EndNoteBibliographyTitle">
    <w:name w:val="EndNote Bibliography Title"/>
    <w:basedOn w:val="Normal"/>
    <w:link w:val="EndNoteBibliographyTitleChar"/>
    <w:rsid w:val="00E659A9"/>
    <w:pPr>
      <w:spacing w:after="0"/>
      <w:jc w:val="center"/>
    </w:pPr>
    <w:rPr>
      <w:rFonts w:ascii="Calibri" w:hAnsi="Calibri" w:cs="Calibri"/>
      <w:noProof/>
    </w:rPr>
  </w:style>
  <w:style w:type="character" w:customStyle="1" w:styleId="EndNoteBibliographyTitleChar">
    <w:name w:val="EndNote Bibliography Title Char"/>
    <w:basedOn w:val="VarsaylanParagrafYazTipi"/>
    <w:link w:val="EndNoteBibliographyTitle"/>
    <w:rsid w:val="00E659A9"/>
    <w:rPr>
      <w:rFonts w:ascii="Calibri" w:hAnsi="Calibri" w:cs="Calibri"/>
      <w:noProof/>
    </w:rPr>
  </w:style>
  <w:style w:type="paragraph" w:customStyle="1" w:styleId="EndNoteBibliography">
    <w:name w:val="EndNote Bibliography"/>
    <w:basedOn w:val="Normal"/>
    <w:link w:val="EndNoteBibliographyChar"/>
    <w:rsid w:val="00E659A9"/>
    <w:pPr>
      <w:spacing w:line="240" w:lineRule="auto"/>
    </w:pPr>
    <w:rPr>
      <w:rFonts w:ascii="Calibri" w:hAnsi="Calibri" w:cs="Calibri"/>
      <w:noProof/>
    </w:rPr>
  </w:style>
  <w:style w:type="character" w:customStyle="1" w:styleId="EndNoteBibliographyChar">
    <w:name w:val="EndNote Bibliography Char"/>
    <w:basedOn w:val="VarsaylanParagrafYazTipi"/>
    <w:link w:val="EndNoteBibliography"/>
    <w:rsid w:val="00E659A9"/>
    <w:rPr>
      <w:rFonts w:ascii="Calibri" w:hAnsi="Calibri" w:cs="Calibri"/>
      <w:noProof/>
    </w:rPr>
  </w:style>
  <w:style w:type="paragraph" w:styleId="BalonMetni">
    <w:name w:val="Balloon Text"/>
    <w:basedOn w:val="Normal"/>
    <w:link w:val="BalonMetniChar"/>
    <w:uiPriority w:val="99"/>
    <w:semiHidden/>
    <w:unhideWhenUsed/>
    <w:rsid w:val="00E659A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59A9"/>
    <w:rPr>
      <w:rFonts w:ascii="Segoe UI" w:hAnsi="Segoe UI" w:cs="Segoe UI"/>
      <w:sz w:val="18"/>
      <w:szCs w:val="18"/>
    </w:rPr>
  </w:style>
  <w:style w:type="character" w:styleId="AklamaBavurusu">
    <w:name w:val="annotation reference"/>
    <w:basedOn w:val="VarsaylanParagrafYazTipi"/>
    <w:uiPriority w:val="99"/>
    <w:semiHidden/>
    <w:unhideWhenUsed/>
    <w:rsid w:val="00E659A9"/>
    <w:rPr>
      <w:sz w:val="16"/>
      <w:szCs w:val="16"/>
    </w:rPr>
  </w:style>
  <w:style w:type="paragraph" w:styleId="AklamaMetni">
    <w:name w:val="annotation text"/>
    <w:basedOn w:val="Normal"/>
    <w:link w:val="AklamaMetniChar"/>
    <w:uiPriority w:val="99"/>
    <w:semiHidden/>
    <w:unhideWhenUsed/>
    <w:rsid w:val="00E659A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659A9"/>
    <w:rPr>
      <w:sz w:val="20"/>
      <w:szCs w:val="20"/>
    </w:rPr>
  </w:style>
  <w:style w:type="paragraph" w:styleId="AklamaKonusu">
    <w:name w:val="annotation subject"/>
    <w:basedOn w:val="AklamaMetni"/>
    <w:next w:val="AklamaMetni"/>
    <w:link w:val="AklamaKonusuChar"/>
    <w:uiPriority w:val="99"/>
    <w:semiHidden/>
    <w:unhideWhenUsed/>
    <w:rsid w:val="00E659A9"/>
    <w:rPr>
      <w:b/>
      <w:bCs/>
    </w:rPr>
  </w:style>
  <w:style w:type="character" w:customStyle="1" w:styleId="AklamaKonusuChar">
    <w:name w:val="Açıklama Konusu Char"/>
    <w:basedOn w:val="AklamaMetniChar"/>
    <w:link w:val="AklamaKonusu"/>
    <w:uiPriority w:val="99"/>
    <w:semiHidden/>
    <w:rsid w:val="00E659A9"/>
    <w:rPr>
      <w:b/>
      <w:bCs/>
      <w:sz w:val="20"/>
      <w:szCs w:val="20"/>
    </w:rPr>
  </w:style>
  <w:style w:type="paragraph" w:styleId="Dzeltme">
    <w:name w:val="Revision"/>
    <w:hidden/>
    <w:uiPriority w:val="99"/>
    <w:semiHidden/>
    <w:rsid w:val="00E659A9"/>
    <w:pPr>
      <w:spacing w:after="0" w:line="240" w:lineRule="auto"/>
    </w:pPr>
    <w:rPr>
      <w:lang w:val="en-US"/>
    </w:rPr>
  </w:style>
  <w:style w:type="table" w:styleId="TabloKlavuzu">
    <w:name w:val="Table Grid"/>
    <w:basedOn w:val="NormalTablo"/>
    <w:uiPriority w:val="39"/>
    <w:rsid w:val="00E659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E659A9"/>
    <w:pPr>
      <w:spacing w:after="0" w:line="240" w:lineRule="auto"/>
    </w:pPr>
    <w:rPr>
      <w:lang w:val="en-US"/>
    </w:rPr>
  </w:style>
  <w:style w:type="paragraph" w:styleId="stBilgi">
    <w:name w:val="header"/>
    <w:basedOn w:val="Normal"/>
    <w:link w:val="stBilgiChar"/>
    <w:uiPriority w:val="99"/>
    <w:unhideWhenUsed/>
    <w:rsid w:val="00E659A9"/>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E659A9"/>
  </w:style>
  <w:style w:type="paragraph" w:styleId="AltBilgi">
    <w:name w:val="footer"/>
    <w:basedOn w:val="Normal"/>
    <w:link w:val="AltBilgiChar"/>
    <w:uiPriority w:val="99"/>
    <w:unhideWhenUsed/>
    <w:rsid w:val="00E659A9"/>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E659A9"/>
  </w:style>
  <w:style w:type="character" w:styleId="Vurgu">
    <w:name w:val="Emphasis"/>
    <w:basedOn w:val="VarsaylanParagrafYazTipi"/>
    <w:uiPriority w:val="20"/>
    <w:qFormat/>
    <w:rsid w:val="00E659A9"/>
    <w:rPr>
      <w:i/>
      <w:iCs/>
    </w:rPr>
  </w:style>
  <w:style w:type="paragraph" w:styleId="NormalWeb">
    <w:name w:val="Normal (Web)"/>
    <w:basedOn w:val="Normal"/>
    <w:uiPriority w:val="99"/>
    <w:semiHidden/>
    <w:unhideWhenUsed/>
    <w:rsid w:val="00E659A9"/>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t1">
    <w:name w:val="st1"/>
    <w:basedOn w:val="VarsaylanParagrafYazTipi"/>
    <w:rsid w:val="00E659A9"/>
  </w:style>
  <w:style w:type="character" w:customStyle="1" w:styleId="ft3">
    <w:name w:val="ft3"/>
    <w:basedOn w:val="VarsaylanParagrafYazTipi"/>
    <w:rsid w:val="00E659A9"/>
  </w:style>
  <w:style w:type="paragraph" w:styleId="T1">
    <w:name w:val="toc 1"/>
    <w:basedOn w:val="Normal"/>
    <w:next w:val="Normal"/>
    <w:autoRedefine/>
    <w:uiPriority w:val="39"/>
    <w:unhideWhenUsed/>
    <w:rsid w:val="007259BF"/>
    <w:pPr>
      <w:spacing w:after="0" w:line="360" w:lineRule="auto"/>
    </w:pPr>
    <w:rPr>
      <w:rFonts w:ascii="Arial" w:hAnsi="Arial"/>
      <w:sz w:val="24"/>
    </w:rPr>
  </w:style>
  <w:style w:type="paragraph" w:styleId="TBal">
    <w:name w:val="TOC Heading"/>
    <w:basedOn w:val="Balk1"/>
    <w:next w:val="Normal"/>
    <w:uiPriority w:val="39"/>
    <w:unhideWhenUsed/>
    <w:qFormat/>
    <w:rsid w:val="00E659A9"/>
    <w:pPr>
      <w:outlineLvl w:val="9"/>
    </w:pPr>
    <w:rPr>
      <w:lang w:val="en-US"/>
    </w:rPr>
  </w:style>
  <w:style w:type="paragraph" w:styleId="T2">
    <w:name w:val="toc 2"/>
    <w:basedOn w:val="Normal"/>
    <w:next w:val="Normal"/>
    <w:autoRedefine/>
    <w:uiPriority w:val="39"/>
    <w:unhideWhenUsed/>
    <w:rsid w:val="007259BF"/>
    <w:pPr>
      <w:spacing w:after="0" w:line="360" w:lineRule="auto"/>
    </w:pPr>
    <w:rPr>
      <w:rFonts w:ascii="Arial" w:hAnsi="Arial"/>
      <w:sz w:val="24"/>
    </w:rPr>
  </w:style>
  <w:style w:type="paragraph" w:styleId="T3">
    <w:name w:val="toc 3"/>
    <w:basedOn w:val="Normal"/>
    <w:next w:val="Normal"/>
    <w:autoRedefine/>
    <w:uiPriority w:val="39"/>
    <w:unhideWhenUsed/>
    <w:rsid w:val="007259BF"/>
    <w:pPr>
      <w:spacing w:after="0" w:line="360" w:lineRule="auto"/>
      <w:ind w:left="454"/>
    </w:pPr>
    <w:rPr>
      <w:rFonts w:ascii="Arial" w:hAnsi="Arial"/>
      <w:sz w:val="24"/>
    </w:rPr>
  </w:style>
  <w:style w:type="character" w:styleId="Kpr">
    <w:name w:val="Hyperlink"/>
    <w:basedOn w:val="VarsaylanParagrafYazTipi"/>
    <w:uiPriority w:val="99"/>
    <w:unhideWhenUsed/>
    <w:rsid w:val="00E659A9"/>
    <w:rPr>
      <w:color w:val="0563C1" w:themeColor="hyperlink"/>
      <w:u w:val="single"/>
    </w:rPr>
  </w:style>
  <w:style w:type="paragraph" w:customStyle="1" w:styleId="METN">
    <w:name w:val="METİN"/>
    <w:basedOn w:val="Normal"/>
    <w:qFormat/>
    <w:rsid w:val="00AA51A2"/>
    <w:pPr>
      <w:spacing w:after="0" w:line="360" w:lineRule="auto"/>
      <w:ind w:firstLine="709"/>
      <w:jc w:val="both"/>
    </w:pPr>
    <w:rPr>
      <w:rFonts w:ascii="Arial" w:hAnsi="Arial" w:cs="Arial"/>
      <w:sz w:val="24"/>
    </w:rPr>
  </w:style>
  <w:style w:type="character" w:customStyle="1" w:styleId="Balk2Char">
    <w:name w:val="Başlık 2 Char"/>
    <w:basedOn w:val="VarsaylanParagrafYazTipi"/>
    <w:link w:val="Balk2"/>
    <w:uiPriority w:val="9"/>
    <w:rsid w:val="00AA51A2"/>
    <w:rPr>
      <w:rFonts w:ascii="Arial" w:eastAsiaTheme="majorEastAsia" w:hAnsi="Arial" w:cstheme="majorBidi"/>
      <w:b/>
      <w:sz w:val="24"/>
      <w:szCs w:val="26"/>
    </w:rPr>
  </w:style>
  <w:style w:type="paragraph" w:customStyle="1" w:styleId="Resimler5">
    <w:name w:val="Resimler 5"/>
    <w:basedOn w:val="Normal"/>
    <w:qFormat/>
    <w:rsid w:val="00AA51A2"/>
    <w:pPr>
      <w:spacing w:before="120" w:after="360" w:line="360" w:lineRule="auto"/>
      <w:outlineLvl w:val="4"/>
    </w:pPr>
    <w:rPr>
      <w:rFonts w:ascii="Arial" w:hAnsi="Arial"/>
      <w:b/>
      <w:sz w:val="24"/>
    </w:rPr>
  </w:style>
  <w:style w:type="character" w:customStyle="1" w:styleId="Balk3Char">
    <w:name w:val="Başlık 3 Char"/>
    <w:basedOn w:val="VarsaylanParagrafYazTipi"/>
    <w:link w:val="Balk3"/>
    <w:uiPriority w:val="9"/>
    <w:rsid w:val="004C7E64"/>
    <w:rPr>
      <w:rFonts w:ascii="Arial" w:eastAsiaTheme="majorEastAsia" w:hAnsi="Arial" w:cstheme="majorBidi"/>
      <w:b/>
      <w:sz w:val="24"/>
      <w:szCs w:val="24"/>
    </w:rPr>
  </w:style>
  <w:style w:type="paragraph" w:customStyle="1" w:styleId="Tablolar6">
    <w:name w:val="Tablolar 6"/>
    <w:basedOn w:val="Normal"/>
    <w:qFormat/>
    <w:rsid w:val="00C416C3"/>
    <w:pPr>
      <w:spacing w:before="360" w:after="120" w:line="360" w:lineRule="auto"/>
      <w:outlineLvl w:val="5"/>
    </w:pPr>
    <w:rPr>
      <w:rFonts w:ascii="Arial" w:hAnsi="Arial" w:cs="Arial"/>
      <w:b/>
      <w:sz w:val="24"/>
      <w:szCs w:val="24"/>
    </w:rPr>
  </w:style>
  <w:style w:type="paragraph" w:styleId="ekillerTablosu">
    <w:name w:val="table of figures"/>
    <w:basedOn w:val="Normal"/>
    <w:next w:val="Normal"/>
    <w:uiPriority w:val="99"/>
    <w:unhideWhenUsed/>
    <w:rsid w:val="007259BF"/>
    <w:pPr>
      <w:spacing w:after="0" w:line="36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graine.com/pro/midas/" TargetMode="External"/><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10" Type="http://schemas.openxmlformats.org/officeDocument/2006/relationships/image" Target="media/image1.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4DF0C-1D9A-45F6-B4B4-858C1BCC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30055</Words>
  <Characters>171316</Characters>
  <Application>Microsoft Office Word</Application>
  <DocSecurity>0</DocSecurity>
  <Lines>1427</Lines>
  <Paragraphs>401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engin</cp:lastModifiedBy>
  <cp:revision>19</cp:revision>
  <dcterms:created xsi:type="dcterms:W3CDTF">2017-08-12T13:01:00Z</dcterms:created>
  <dcterms:modified xsi:type="dcterms:W3CDTF">2017-09-08T20:46:00Z</dcterms:modified>
</cp:coreProperties>
</file>